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2C" w:rsidRDefault="00B1762C" w:rsidP="00B1762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 w:cs="Verdana"/>
          <w:color w:val="000000"/>
          <w:sz w:val="18"/>
          <w:szCs w:val="18"/>
        </w:rPr>
        <w:t>Mag. Sibylle SUMMER / DW 5351</w:t>
      </w:r>
    </w:p>
    <w:p w:rsidR="00B1762C" w:rsidRDefault="00B1762C" w:rsidP="00B1762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FF"/>
          <w:sz w:val="18"/>
          <w:szCs w:val="18"/>
        </w:rPr>
      </w:pPr>
      <w:r>
        <w:rPr>
          <w:rFonts w:ascii="Verdana" w:hAnsi="Verdana" w:cs="Verdana"/>
          <w:color w:val="0000FF"/>
          <w:sz w:val="18"/>
          <w:szCs w:val="18"/>
        </w:rPr>
        <w:t>sibylle.summer@bmwfw.gv.at</w:t>
      </w:r>
    </w:p>
    <w:p w:rsidR="0086351C" w:rsidRDefault="0086351C" w:rsidP="00B1762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</w:p>
    <w:p w:rsidR="00B1762C" w:rsidRDefault="00B1762C" w:rsidP="00B1762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BMWFW-57.004/0004-C1/8/2014</w:t>
      </w:r>
    </w:p>
    <w:p w:rsidR="00B1762C" w:rsidRDefault="00B1762C" w:rsidP="00B1762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</w:rPr>
      </w:pPr>
    </w:p>
    <w:p w:rsidR="0086351C" w:rsidRDefault="0086351C" w:rsidP="00B1762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</w:rPr>
      </w:pPr>
    </w:p>
    <w:p w:rsidR="0086351C" w:rsidRDefault="0086351C" w:rsidP="00B1762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</w:rPr>
      </w:pPr>
    </w:p>
    <w:p w:rsidR="0086351C" w:rsidRDefault="0086351C" w:rsidP="00B1762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</w:rPr>
      </w:pPr>
    </w:p>
    <w:p w:rsidR="00B1762C" w:rsidRDefault="00B1762C" w:rsidP="00B176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B1762C">
        <w:rPr>
          <w:rFonts w:ascii="Arial" w:hAnsi="Arial" w:cs="Arial"/>
          <w:b/>
          <w:bCs/>
          <w:color w:val="000000"/>
        </w:rPr>
        <w:t>Rundschreiben Nr. 02/2014; Neue EU-beihilferechtliche Grundlagen für die</w:t>
      </w:r>
      <w:r w:rsidR="0086351C">
        <w:rPr>
          <w:rFonts w:ascii="Arial" w:hAnsi="Arial" w:cs="Arial"/>
          <w:b/>
          <w:bCs/>
          <w:color w:val="000000"/>
        </w:rPr>
        <w:t xml:space="preserve"> </w:t>
      </w:r>
      <w:r w:rsidRPr="00B1762C">
        <w:rPr>
          <w:rFonts w:ascii="Arial" w:hAnsi="Arial" w:cs="Arial"/>
          <w:b/>
          <w:bCs/>
          <w:color w:val="000000"/>
        </w:rPr>
        <w:t>unternehmensbezogene F&amp;E&amp;I-Förderung</w:t>
      </w:r>
    </w:p>
    <w:p w:rsidR="0086351C" w:rsidRPr="00B1762C" w:rsidRDefault="0086351C" w:rsidP="00B176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1762C" w:rsidRPr="00B1762C" w:rsidRDefault="00B1762C" w:rsidP="0086351C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</w:rPr>
      </w:pPr>
      <w:r w:rsidRPr="00B1762C">
        <w:rPr>
          <w:rFonts w:ascii="Arial" w:hAnsi="Arial" w:cs="Arial"/>
          <w:color w:val="000000"/>
        </w:rPr>
        <w:t>Die Europäische Kommission hat am 21. Mai 2014 neben der neuen Allgemeinen</w:t>
      </w:r>
      <w:r>
        <w:rPr>
          <w:rFonts w:ascii="Arial" w:hAnsi="Arial" w:cs="Arial"/>
          <w:color w:val="000000"/>
        </w:rPr>
        <w:t xml:space="preserve"> </w:t>
      </w:r>
      <w:r w:rsidRPr="00B1762C">
        <w:rPr>
          <w:rFonts w:ascii="Arial" w:hAnsi="Arial" w:cs="Arial"/>
          <w:color w:val="000000"/>
        </w:rPr>
        <w:t>Gruppenfreistellungs-VO (AGVO), Nr. 651/2014 (Siehe Rundschreiben GZ:</w:t>
      </w:r>
      <w:r>
        <w:rPr>
          <w:rFonts w:ascii="Arial" w:hAnsi="Arial" w:cs="Arial"/>
          <w:color w:val="000000"/>
        </w:rPr>
        <w:t xml:space="preserve"> </w:t>
      </w:r>
      <w:r w:rsidRPr="00B1762C">
        <w:rPr>
          <w:rFonts w:ascii="Arial" w:hAnsi="Arial" w:cs="Arial"/>
          <w:color w:val="000000"/>
        </w:rPr>
        <w:t>57.008/0008-C1/8/2014 vom 27.6.2014) auch einen neuen Unionsrahmen für staatliche</w:t>
      </w:r>
      <w:r>
        <w:rPr>
          <w:rFonts w:ascii="Arial" w:hAnsi="Arial" w:cs="Arial"/>
          <w:color w:val="000000"/>
        </w:rPr>
        <w:t xml:space="preserve"> </w:t>
      </w:r>
      <w:r w:rsidRPr="00B1762C">
        <w:rPr>
          <w:rFonts w:ascii="Arial" w:hAnsi="Arial" w:cs="Arial"/>
          <w:color w:val="000000"/>
        </w:rPr>
        <w:t>Beihilfen zur Förderung von Forschung, Entwicklung und Innovation beschlossen.</w:t>
      </w:r>
      <w:r>
        <w:rPr>
          <w:rFonts w:ascii="Arial" w:hAnsi="Arial" w:cs="Arial"/>
          <w:color w:val="000000"/>
        </w:rPr>
        <w:t xml:space="preserve"> </w:t>
      </w:r>
      <w:r w:rsidRPr="00B1762C">
        <w:rPr>
          <w:rFonts w:ascii="Arial" w:hAnsi="Arial" w:cs="Arial"/>
          <w:color w:val="000000"/>
        </w:rPr>
        <w:t>Nachdem die beschlossene Fassung übersetzt wurde, wurde der neue Unionsrahmen</w:t>
      </w:r>
      <w:r>
        <w:rPr>
          <w:rFonts w:ascii="Arial" w:hAnsi="Arial" w:cs="Arial"/>
          <w:color w:val="000000"/>
        </w:rPr>
        <w:t xml:space="preserve"> </w:t>
      </w:r>
      <w:r w:rsidRPr="00B1762C">
        <w:rPr>
          <w:rFonts w:ascii="Arial" w:hAnsi="Arial" w:cs="Arial"/>
          <w:color w:val="000000"/>
        </w:rPr>
        <w:t>für F&amp;E&amp;I-Beihilfen am 27.6.2014 im Amtsblatt der EU veröffentlicht (2014/C198/01). Er tritt am 1. Juli 2014 in Kraft. Gemäß Randziffer 127 des neuen Unionsrahmens</w:t>
      </w:r>
      <w:r>
        <w:rPr>
          <w:rFonts w:ascii="Arial" w:hAnsi="Arial" w:cs="Arial"/>
          <w:color w:val="000000"/>
        </w:rPr>
        <w:t xml:space="preserve"> </w:t>
      </w:r>
      <w:r w:rsidRPr="00B1762C">
        <w:rPr>
          <w:rFonts w:ascii="Arial" w:hAnsi="Arial" w:cs="Arial"/>
          <w:color w:val="000000"/>
        </w:rPr>
        <w:t>sind "</w:t>
      </w:r>
      <w:r w:rsidRPr="00B1762C">
        <w:rPr>
          <w:rFonts w:ascii="Arial" w:hAnsi="Arial" w:cs="Arial"/>
          <w:i/>
          <w:iCs/>
          <w:color w:val="000000"/>
        </w:rPr>
        <w:t>geltende F&amp;E&amp;I Beihilferegelungen bis längstens 1. Januar 2015 in Einklang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B1762C">
        <w:rPr>
          <w:rFonts w:ascii="Arial" w:hAnsi="Arial" w:cs="Arial"/>
          <w:i/>
          <w:iCs/>
          <w:color w:val="000000"/>
        </w:rPr>
        <w:t>mit dem neuen Unionsrahmen zu bringen"</w:t>
      </w:r>
      <w:r w:rsidRPr="00B1762C">
        <w:rPr>
          <w:rFonts w:ascii="Arial" w:hAnsi="Arial" w:cs="Arial"/>
          <w:color w:val="000000"/>
        </w:rPr>
        <w:t>.</w:t>
      </w:r>
    </w:p>
    <w:p w:rsidR="00B1762C" w:rsidRPr="00B1762C" w:rsidRDefault="00B1762C" w:rsidP="0086351C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</w:rPr>
      </w:pPr>
      <w:r w:rsidRPr="00B1762C">
        <w:rPr>
          <w:rFonts w:ascii="Arial" w:hAnsi="Arial" w:cs="Arial"/>
          <w:color w:val="000000"/>
        </w:rPr>
        <w:t>Alle innerstaatlichen Richtlinien, die auf Grundlage der (alten) AGVO Nr. 800/2008</w:t>
      </w:r>
      <w:r>
        <w:rPr>
          <w:rFonts w:ascii="Arial" w:hAnsi="Arial" w:cs="Arial"/>
          <w:color w:val="000000"/>
        </w:rPr>
        <w:t xml:space="preserve"> </w:t>
      </w:r>
      <w:r w:rsidRPr="00B1762C">
        <w:rPr>
          <w:rFonts w:ascii="Arial" w:hAnsi="Arial" w:cs="Arial"/>
          <w:color w:val="000000"/>
        </w:rPr>
        <w:t>freigestellt sind, gelten noch bis 31.12.2014 auf Grundlage der AGVO Nr. 800/2008</w:t>
      </w:r>
      <w:r>
        <w:rPr>
          <w:rFonts w:ascii="Arial" w:hAnsi="Arial" w:cs="Arial"/>
          <w:color w:val="000000"/>
        </w:rPr>
        <w:t xml:space="preserve"> </w:t>
      </w:r>
      <w:r w:rsidRPr="00B1762C">
        <w:rPr>
          <w:rFonts w:ascii="Arial" w:hAnsi="Arial" w:cs="Arial"/>
          <w:color w:val="000000"/>
        </w:rPr>
        <w:t>als freigestellt. Vgl. Artikel 44 der AGVO Nr. 800/2008.</w:t>
      </w:r>
    </w:p>
    <w:p w:rsidR="00B1762C" w:rsidRPr="00B1762C" w:rsidRDefault="00B1762C" w:rsidP="0086351C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</w:rPr>
      </w:pPr>
      <w:r w:rsidRPr="00B1762C">
        <w:rPr>
          <w:rFonts w:ascii="Arial" w:hAnsi="Arial" w:cs="Arial"/>
          <w:color w:val="000000"/>
        </w:rPr>
        <w:t>Österreich hat sich an dem Konsultationsprozess im Rahmen der Überarbeitung der</w:t>
      </w:r>
      <w:r>
        <w:rPr>
          <w:rFonts w:ascii="Arial" w:hAnsi="Arial" w:cs="Arial"/>
          <w:color w:val="000000"/>
        </w:rPr>
        <w:t xml:space="preserve"> </w:t>
      </w:r>
      <w:r w:rsidRPr="00B1762C">
        <w:rPr>
          <w:rFonts w:ascii="Arial" w:hAnsi="Arial" w:cs="Arial"/>
          <w:color w:val="000000"/>
        </w:rPr>
        <w:t>EU-beihilferechtlichen Grundlagen für F&amp;E&amp;I u.a. mit einer umfangreichen schriftlichen</w:t>
      </w:r>
      <w:r>
        <w:rPr>
          <w:rFonts w:ascii="Arial" w:hAnsi="Arial" w:cs="Arial"/>
          <w:color w:val="000000"/>
        </w:rPr>
        <w:t xml:space="preserve"> </w:t>
      </w:r>
      <w:r w:rsidRPr="00B1762C">
        <w:rPr>
          <w:rFonts w:ascii="Arial" w:hAnsi="Arial" w:cs="Arial"/>
          <w:color w:val="000000"/>
        </w:rPr>
        <w:t>Stellungnahme vom 14.3.2014 (vgl. GZ: 57.004/0001-C1/8/2014) beteiligt.</w:t>
      </w:r>
    </w:p>
    <w:p w:rsidR="00B1762C" w:rsidRPr="00B1762C" w:rsidRDefault="00B1762C" w:rsidP="0086351C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</w:rPr>
      </w:pPr>
      <w:r w:rsidRPr="00B1762C">
        <w:rPr>
          <w:rFonts w:ascii="Arial" w:hAnsi="Arial" w:cs="Arial"/>
          <w:color w:val="000000"/>
        </w:rPr>
        <w:t>Abschnitt 4 der neuen AGVO Nr. 651/2014 deckt alle Zulässigkeitskriterien für</w:t>
      </w:r>
      <w:r>
        <w:rPr>
          <w:rFonts w:ascii="Arial" w:hAnsi="Arial" w:cs="Arial"/>
          <w:color w:val="000000"/>
        </w:rPr>
        <w:t xml:space="preserve"> </w:t>
      </w:r>
      <w:r w:rsidRPr="00B1762C">
        <w:rPr>
          <w:rFonts w:ascii="Arial" w:hAnsi="Arial" w:cs="Arial"/>
          <w:color w:val="000000"/>
        </w:rPr>
        <w:t>die unternehmensbezogenen F&amp;E&amp;I-Beihilfen ab. Notifikationspflichtig gemäß</w:t>
      </w:r>
      <w:r>
        <w:rPr>
          <w:rFonts w:ascii="Arial" w:hAnsi="Arial" w:cs="Arial"/>
          <w:color w:val="000000"/>
        </w:rPr>
        <w:t xml:space="preserve"> </w:t>
      </w:r>
      <w:r w:rsidRPr="00B1762C">
        <w:rPr>
          <w:rFonts w:ascii="Arial" w:hAnsi="Arial" w:cs="Arial"/>
          <w:color w:val="000000"/>
        </w:rPr>
        <w:t>dem neuen Unionsrahmen für F&amp;E&amp;I-Beihilfen bleiben nur jene Beihilfen, die</w:t>
      </w:r>
      <w:r>
        <w:rPr>
          <w:rFonts w:ascii="Arial" w:hAnsi="Arial" w:cs="Arial"/>
          <w:color w:val="000000"/>
        </w:rPr>
        <w:t xml:space="preserve"> </w:t>
      </w:r>
      <w:r w:rsidRPr="00B1762C">
        <w:rPr>
          <w:rFonts w:ascii="Arial" w:hAnsi="Arial" w:cs="Arial"/>
          <w:color w:val="000000"/>
        </w:rPr>
        <w:t>über den Einzelnotifikationsschwellwertgrenzen liegen.</w:t>
      </w:r>
    </w:p>
    <w:p w:rsidR="00B1762C" w:rsidRPr="0086351C" w:rsidRDefault="00B1762C" w:rsidP="0086351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86351C">
        <w:rPr>
          <w:rFonts w:ascii="Arial" w:hAnsi="Arial" w:cs="Arial"/>
          <w:color w:val="000000"/>
        </w:rPr>
        <w:t>Zu beachten sind die neu vorgesehenen Transparenz-Verpflichtungen gemäß Artikel 9 der neuen AGVO bzw. Randziffer 119 des neuen Unionsrahmens für BMWFW-57.004/0004-C1/8/2014 Seite 7 von 9 F&amp;E&amp;I-Beihilfen. Neben der Veröffentlichung des vollständigen Richtlinientextes sind auch die einzeln gewährten Beihilfen über € 500.000.- gemäß Anhang 3 der AGVO Nr. 651/2014 auf einer innerstaatlichen oder regionalen Homepage zu veröffentlichen. Dies gilt ab 1. Juli 2016 verbindlich.</w:t>
      </w:r>
    </w:p>
    <w:p w:rsidR="00B1762C" w:rsidRPr="0086351C" w:rsidRDefault="00B1762C" w:rsidP="0086351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86351C">
        <w:rPr>
          <w:rFonts w:ascii="Arial" w:hAnsi="Arial" w:cs="Arial"/>
          <w:color w:val="000000"/>
        </w:rPr>
        <w:lastRenderedPageBreak/>
        <w:t xml:space="preserve">Die Begriffsbestimmungen finden sich in Artikel 2 der AGVO Nr. 651/2014. Die neue Definition für "experimentelle Entwicklung" (siehe </w:t>
      </w:r>
      <w:proofErr w:type="spellStart"/>
      <w:r w:rsidRPr="0086351C">
        <w:rPr>
          <w:rFonts w:ascii="Arial" w:hAnsi="Arial" w:cs="Arial"/>
          <w:color w:val="000000"/>
        </w:rPr>
        <w:t>Rz</w:t>
      </w:r>
      <w:proofErr w:type="spellEnd"/>
      <w:r w:rsidRPr="0086351C">
        <w:rPr>
          <w:rFonts w:ascii="Arial" w:hAnsi="Arial" w:cs="Arial"/>
          <w:color w:val="000000"/>
        </w:rPr>
        <w:t xml:space="preserve"> 86) sieht eine Erleichterung vor. Folgender Satz, der in der bisher gültigen Definition für "experimentelle Entwicklung" stand: "</w:t>
      </w:r>
      <w:r w:rsidRPr="0086351C">
        <w:rPr>
          <w:rFonts w:ascii="Arial" w:hAnsi="Arial" w:cs="Arial"/>
          <w:i/>
          <w:iCs/>
          <w:color w:val="000000"/>
        </w:rPr>
        <w:t>Bei einer anschließenden kommerziellen Nutzung von Demonstrations- oder Pilotprojekten sind die daraus erzielten Einnahmen von den förderbaren Kosten abzuziehen</w:t>
      </w:r>
      <w:r w:rsidRPr="0086351C">
        <w:rPr>
          <w:rFonts w:ascii="Arial" w:hAnsi="Arial" w:cs="Arial"/>
          <w:color w:val="000000"/>
        </w:rPr>
        <w:t>" (vgl. Artikel 30, Absatz 4 der AGVO Nr. 800/2008) entfällt. Die EK beabsichtigt damit eine Erleichterung in der Abwicklung.</w:t>
      </w:r>
    </w:p>
    <w:p w:rsidR="00B1762C" w:rsidRPr="0086351C" w:rsidRDefault="00B1762C" w:rsidP="0086351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86351C">
        <w:rPr>
          <w:rFonts w:ascii="Arial" w:hAnsi="Arial" w:cs="Arial"/>
          <w:color w:val="000000"/>
        </w:rPr>
        <w:t>Die Förderungsmöglichkeiten für die unternehmensbezogenen Forschungsprojekte nach den jeweiligen Forschungskategorien (experimentelle Entwicklung,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industrielle Forschung und Grundlagenforschung), mit den jeweiligen max. Beihilfeintensitäten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(25%, 50%, 100%) plus Zuschlägen für KMU, plus Bonus für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Zusammenarbeit - finden sich in Artikel 25 der AGVO Nr. 651/2014.</w:t>
      </w:r>
    </w:p>
    <w:p w:rsidR="00B1762C" w:rsidRPr="0086351C" w:rsidRDefault="00B1762C" w:rsidP="0086351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86351C">
        <w:rPr>
          <w:rFonts w:ascii="Arial" w:hAnsi="Arial" w:cs="Arial"/>
          <w:color w:val="000000"/>
        </w:rPr>
        <w:t>Die Schwellwertgrenzen für die verpflichtenden Einzelnotifikationen von großen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 xml:space="preserve">Beihilfebeträgen wurden gestaffelt, je nach Forschungskategorie (€ 15 </w:t>
      </w:r>
      <w:proofErr w:type="spellStart"/>
      <w:r w:rsidRPr="0086351C">
        <w:rPr>
          <w:rFonts w:ascii="Arial" w:hAnsi="Arial" w:cs="Arial"/>
          <w:color w:val="000000"/>
        </w:rPr>
        <w:t>Mio</w:t>
      </w:r>
      <w:proofErr w:type="spellEnd"/>
      <w:r w:rsidRPr="0086351C">
        <w:rPr>
          <w:rFonts w:ascii="Arial" w:hAnsi="Arial" w:cs="Arial"/>
          <w:color w:val="000000"/>
        </w:rPr>
        <w:t>, €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 xml:space="preserve">20 </w:t>
      </w:r>
      <w:proofErr w:type="spellStart"/>
      <w:r w:rsidRPr="0086351C">
        <w:rPr>
          <w:rFonts w:ascii="Arial" w:hAnsi="Arial" w:cs="Arial"/>
          <w:color w:val="000000"/>
        </w:rPr>
        <w:t>Mio</w:t>
      </w:r>
      <w:proofErr w:type="spellEnd"/>
      <w:r w:rsidRPr="0086351C">
        <w:rPr>
          <w:rFonts w:ascii="Arial" w:hAnsi="Arial" w:cs="Arial"/>
          <w:color w:val="000000"/>
        </w:rPr>
        <w:t xml:space="preserve">, € 40 </w:t>
      </w:r>
      <w:proofErr w:type="spellStart"/>
      <w:r w:rsidRPr="0086351C">
        <w:rPr>
          <w:rFonts w:ascii="Arial" w:hAnsi="Arial" w:cs="Arial"/>
          <w:color w:val="000000"/>
        </w:rPr>
        <w:t>Mio</w:t>
      </w:r>
      <w:proofErr w:type="spellEnd"/>
      <w:r w:rsidRPr="0086351C">
        <w:rPr>
          <w:rFonts w:ascii="Arial" w:hAnsi="Arial" w:cs="Arial"/>
          <w:color w:val="000000"/>
        </w:rPr>
        <w:t xml:space="preserve"> pro Projekt und Unternehmen) deutlich erhöht. Vgl. Artikel 4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der AGVO Nr. 651/2014.</w:t>
      </w:r>
    </w:p>
    <w:p w:rsidR="00B1762C" w:rsidRPr="0086351C" w:rsidRDefault="00B1762C" w:rsidP="0086351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86351C">
        <w:rPr>
          <w:rFonts w:ascii="Arial" w:hAnsi="Arial" w:cs="Arial"/>
          <w:color w:val="000000"/>
        </w:rPr>
        <w:t>Die Kosten für die Validierung und die Verteidigung von Patenten und anderen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immateriellen Vermögenswerten für KMU und die Kosten für Innovationsberatungsdienstleistungen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für KMU sind ebenso freistellungsfähig. Die maximalen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Beihilfeintensitäten betragen 50% der förderbaren Kosten (bzw. bis 100%, bis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zu einem Wert von max. € 200.000.- (unbeschadet sonstiger De-</w:t>
      </w:r>
      <w:proofErr w:type="spellStart"/>
      <w:r w:rsidRPr="0086351C">
        <w:rPr>
          <w:rFonts w:ascii="Arial" w:hAnsi="Arial" w:cs="Arial"/>
          <w:color w:val="000000"/>
        </w:rPr>
        <w:t>minimis</w:t>
      </w:r>
      <w:proofErr w:type="spellEnd"/>
      <w:r w:rsidRPr="0086351C">
        <w:rPr>
          <w:rFonts w:ascii="Arial" w:hAnsi="Arial" w:cs="Arial"/>
          <w:color w:val="000000"/>
        </w:rPr>
        <w:t>-Förderungen)). Vgl. Artikel 28 AGVO Nr. 651/2014.</w:t>
      </w:r>
    </w:p>
    <w:p w:rsidR="00B1762C" w:rsidRPr="0086351C" w:rsidRDefault="00B1762C" w:rsidP="0086351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86351C">
        <w:rPr>
          <w:rFonts w:ascii="Arial" w:hAnsi="Arial" w:cs="Arial"/>
          <w:color w:val="000000"/>
        </w:rPr>
        <w:t>Freistellungsfähig sind auch Beihilfen für Unternehmensneugründungen (Startups)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generell. Die Gründungsphase beträgt zukünftig generell 5 Jahre. Bei Zuschüssen,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Zinssenkungen oder der Verringerung des Garantieentgeltes beträgt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die maximal zulässige Beihilfehöhe für Unternehmensgründungen € 400.000.-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(BSÄ), in Regionalfördergebieten gem. Art 107 (c) AEUV maximal € 600.000.-.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Für junge, innovative, technologieorientierte Start-ups kann die doppelte Beihilfehöhe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 xml:space="preserve">(d.h. maximal € 800.000.- bzw. € 1,2 </w:t>
      </w:r>
      <w:proofErr w:type="spellStart"/>
      <w:r w:rsidRPr="0086351C">
        <w:rPr>
          <w:rFonts w:ascii="Arial" w:hAnsi="Arial" w:cs="Arial"/>
          <w:color w:val="000000"/>
        </w:rPr>
        <w:t>Mio</w:t>
      </w:r>
      <w:proofErr w:type="spellEnd"/>
      <w:r w:rsidRPr="0086351C">
        <w:rPr>
          <w:rFonts w:ascii="Arial" w:hAnsi="Arial" w:cs="Arial"/>
          <w:color w:val="000000"/>
        </w:rPr>
        <w:t xml:space="preserve"> (BSÄ)) gewährt werden. Vgl.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Artikel 22 der AGVO Nr. 651/2014.</w:t>
      </w:r>
    </w:p>
    <w:p w:rsidR="00B1762C" w:rsidRPr="0086351C" w:rsidRDefault="00B1762C" w:rsidP="0086351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86351C">
        <w:rPr>
          <w:rFonts w:ascii="Arial" w:hAnsi="Arial" w:cs="Arial"/>
          <w:color w:val="000000"/>
        </w:rPr>
        <w:t>Beihilfen für Betriebs- und Organisationsinnovation für KMU sind ebenfalls mit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einer Beihilfeintensität von 50% der förderbaren Kosten freistellungsfähig. Große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Unternehmen können diese Beihilfen (mit max. 15% Beihilfeintensität) dann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 xml:space="preserve">erhalten, </w:t>
      </w:r>
      <w:r w:rsidRPr="0086351C">
        <w:rPr>
          <w:rFonts w:ascii="Arial" w:hAnsi="Arial" w:cs="Arial"/>
          <w:color w:val="000000"/>
        </w:rPr>
        <w:lastRenderedPageBreak/>
        <w:t>wenn sie mit KMU zusammenarbeiten und der Kostenanteil der KMU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zumindest 30% beträgt. Vgl. Artikel 29 der AGVO Nr. 651/2014.</w:t>
      </w:r>
    </w:p>
    <w:p w:rsidR="00B1762C" w:rsidRPr="0086351C" w:rsidRDefault="00B1762C" w:rsidP="0086351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86351C">
        <w:rPr>
          <w:rFonts w:ascii="Arial" w:hAnsi="Arial" w:cs="Arial"/>
          <w:color w:val="000000"/>
        </w:rPr>
        <w:t>Neu vorgesehen sind auch freistellungsfähige Förderungsmöglichkeiten für wirtschaftlich-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genutzte Forschungsinfrastruktur (max. 50% Beihilfeintensität), vgl.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Artikel 26 der AGVO Nr. 651/2014 und für Innovationcluster (für Investitionsbeihilfen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max. 50 % Beihilfeintensität und für die Clusteranimation max. 50%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für 10 Jahre). Vgl. Artikel 27 der AGVO Nr. 651/2014.</w:t>
      </w:r>
    </w:p>
    <w:p w:rsidR="00B1762C" w:rsidRPr="0086351C" w:rsidRDefault="00B1762C" w:rsidP="0086351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86351C">
        <w:rPr>
          <w:rFonts w:ascii="Arial" w:hAnsi="Arial" w:cs="Arial"/>
          <w:color w:val="000000"/>
        </w:rPr>
        <w:t>Unternehmensbezogene Förderungen, die nicht unter die AGVO Nr. 651/2014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fallen, etwa auf Grund der Höhe des Beihilfebetrages (Einzelnotifikationspflicht),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unterliegen einer sehr detaillierten Kompatibilitätsprüfung gemäß dem neuen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Unionsrahmen (Nachweis der Geeignetheit der Beihilfe, genaue Anreizeffekt-Prüfung mit kontrafaktischen Analysen und Rentabilitätsrechnungen. Förderungsfähig</w:t>
      </w:r>
      <w:r w:rsidR="0086351C" w:rsidRPr="0086351C">
        <w:rPr>
          <w:rFonts w:ascii="Arial" w:hAnsi="Arial" w:cs="Arial"/>
          <w:color w:val="000000"/>
        </w:rPr>
        <w:t xml:space="preserve"> s</w:t>
      </w:r>
      <w:r w:rsidRPr="0086351C">
        <w:rPr>
          <w:rFonts w:ascii="Arial" w:hAnsi="Arial" w:cs="Arial"/>
          <w:color w:val="000000"/>
        </w:rPr>
        <w:t>ind nur die nachweislich zusätzlichen Forschungsaktivitäten, die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durch die Beihilfe gemacht werden). In Ö gab es bis dato jedoch noch keine detaillierte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Einzelfallprüfung im F&amp;E&amp;I Bereich auf Grund der Beihilfehöhe.</w:t>
      </w:r>
    </w:p>
    <w:p w:rsidR="0086351C" w:rsidRPr="0086351C" w:rsidRDefault="00B1762C" w:rsidP="0086351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86351C">
        <w:rPr>
          <w:rFonts w:ascii="Arial" w:hAnsi="Arial" w:cs="Arial"/>
          <w:color w:val="000000"/>
        </w:rPr>
        <w:t>Der neue Unionsrahmen für F&amp;E&amp;I-Beihilfen erläutert zudem an Hand von zitierter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EuGH Judikatur die Unterscheidung zwischen der staatlichen Finanzierung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von nicht-wirtschaftlichen Aktivitäten, die in der Regel nicht unter den Anwendungsbereich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des EU-Beihilferechts fällt und die Förderung von wirtschaftlichen</w:t>
      </w:r>
      <w:r w:rsidR="0086351C" w:rsidRPr="0086351C">
        <w:rPr>
          <w:rFonts w:ascii="Arial" w:hAnsi="Arial" w:cs="Arial"/>
          <w:color w:val="000000"/>
        </w:rPr>
        <w:t xml:space="preserve"> </w:t>
      </w:r>
      <w:r w:rsidRPr="0086351C">
        <w:rPr>
          <w:rFonts w:ascii="Arial" w:hAnsi="Arial" w:cs="Arial"/>
          <w:color w:val="000000"/>
        </w:rPr>
        <w:t>Aktivitäten, die grundsätzlich EU-beihilferechtsrelevant ist.</w:t>
      </w:r>
      <w:r w:rsidR="0086351C" w:rsidRPr="0086351C">
        <w:rPr>
          <w:rFonts w:ascii="Arial" w:hAnsi="Arial" w:cs="Arial"/>
          <w:color w:val="000000"/>
        </w:rPr>
        <w:t xml:space="preserve"> </w:t>
      </w:r>
    </w:p>
    <w:p w:rsidR="0086351C" w:rsidRDefault="0086351C" w:rsidP="00B176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</w:p>
    <w:p w:rsidR="0086351C" w:rsidRDefault="0086351C" w:rsidP="00863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6351C" w:rsidRDefault="0086351C" w:rsidP="008635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B1762C" w:rsidRPr="00B1762C" w:rsidRDefault="00B1762C" w:rsidP="008635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B1762C">
        <w:rPr>
          <w:rFonts w:ascii="Arial" w:hAnsi="Arial" w:cs="Arial"/>
          <w:color w:val="000000"/>
        </w:rPr>
        <w:t>Mit freundlichen Grüßen</w:t>
      </w:r>
    </w:p>
    <w:p w:rsidR="00B1762C" w:rsidRPr="00B1762C" w:rsidRDefault="00B1762C" w:rsidP="008635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B1762C">
        <w:rPr>
          <w:rFonts w:ascii="Arial" w:hAnsi="Arial" w:cs="Arial"/>
          <w:color w:val="000000"/>
        </w:rPr>
        <w:t>Wien, am 30.06.2014</w:t>
      </w:r>
    </w:p>
    <w:p w:rsidR="00B1762C" w:rsidRPr="00B1762C" w:rsidRDefault="00B1762C" w:rsidP="008635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B1762C">
        <w:rPr>
          <w:rFonts w:ascii="Arial" w:hAnsi="Arial" w:cs="Arial"/>
          <w:color w:val="000000"/>
        </w:rPr>
        <w:t>Für den Bundesminister:</w:t>
      </w:r>
    </w:p>
    <w:p w:rsidR="00B1762C" w:rsidRPr="00B1762C" w:rsidRDefault="00B1762C" w:rsidP="008635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proofErr w:type="spellStart"/>
      <w:r w:rsidRPr="00B1762C">
        <w:rPr>
          <w:rFonts w:ascii="Arial" w:hAnsi="Arial" w:cs="Arial"/>
          <w:color w:val="000000"/>
        </w:rPr>
        <w:t>Mag.rer.soc.oec</w:t>
      </w:r>
      <w:proofErr w:type="spellEnd"/>
      <w:r w:rsidRPr="00B1762C">
        <w:rPr>
          <w:rFonts w:ascii="Arial" w:hAnsi="Arial" w:cs="Arial"/>
          <w:color w:val="000000"/>
        </w:rPr>
        <w:t>. Sibylle Summer</w:t>
      </w:r>
    </w:p>
    <w:p w:rsidR="0086351C" w:rsidRDefault="0086351C" w:rsidP="008635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6351C" w:rsidRDefault="0086351C" w:rsidP="008635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6351C" w:rsidRDefault="0086351C" w:rsidP="008635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B1762C" w:rsidRPr="0086351C" w:rsidRDefault="00B1762C" w:rsidP="008635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u w:val="single"/>
        </w:rPr>
      </w:pPr>
      <w:r w:rsidRPr="0086351C">
        <w:rPr>
          <w:rFonts w:ascii="Arial" w:hAnsi="Arial" w:cs="Arial"/>
          <w:color w:val="000000"/>
          <w:u w:val="single"/>
        </w:rPr>
        <w:t>2 Anlagen:</w:t>
      </w:r>
    </w:p>
    <w:p w:rsidR="00B1762C" w:rsidRPr="00B1762C" w:rsidRDefault="00B1762C" w:rsidP="008635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B1762C">
        <w:rPr>
          <w:rFonts w:ascii="Arial" w:hAnsi="Arial" w:cs="Arial"/>
          <w:color w:val="000000"/>
        </w:rPr>
        <w:t>Neue AGVO Nr. 651/2014</w:t>
      </w:r>
    </w:p>
    <w:p w:rsidR="00B1762C" w:rsidRPr="00B1762C" w:rsidRDefault="00B1762C" w:rsidP="008635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B1762C">
        <w:rPr>
          <w:rFonts w:ascii="Arial" w:hAnsi="Arial" w:cs="Arial"/>
          <w:color w:val="000000"/>
        </w:rPr>
        <w:t>Neuer Unionsrahmen F&amp;E&amp;I-Beihilfen.</w:t>
      </w:r>
    </w:p>
    <w:p w:rsidR="00B1762C" w:rsidRDefault="00B1762C" w:rsidP="0086351C"/>
    <w:sectPr w:rsidR="00B176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1D27"/>
    <w:multiLevelType w:val="hybridMultilevel"/>
    <w:tmpl w:val="0A4A396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64"/>
    <w:rsid w:val="00026848"/>
    <w:rsid w:val="00112755"/>
    <w:rsid w:val="00113F68"/>
    <w:rsid w:val="0018586F"/>
    <w:rsid w:val="001D34D3"/>
    <w:rsid w:val="001E2E0F"/>
    <w:rsid w:val="002626BD"/>
    <w:rsid w:val="0026767F"/>
    <w:rsid w:val="002706F7"/>
    <w:rsid w:val="002A4306"/>
    <w:rsid w:val="002D0E85"/>
    <w:rsid w:val="002D7AF9"/>
    <w:rsid w:val="002F4CAD"/>
    <w:rsid w:val="00301C84"/>
    <w:rsid w:val="00337766"/>
    <w:rsid w:val="0038738A"/>
    <w:rsid w:val="00395B90"/>
    <w:rsid w:val="003A6BB6"/>
    <w:rsid w:val="003B6BF4"/>
    <w:rsid w:val="003D07E4"/>
    <w:rsid w:val="003D0E2B"/>
    <w:rsid w:val="0041273E"/>
    <w:rsid w:val="004251FB"/>
    <w:rsid w:val="00452581"/>
    <w:rsid w:val="004C6789"/>
    <w:rsid w:val="004D6F1B"/>
    <w:rsid w:val="00517E7F"/>
    <w:rsid w:val="00523E27"/>
    <w:rsid w:val="00537289"/>
    <w:rsid w:val="005636DE"/>
    <w:rsid w:val="00584C20"/>
    <w:rsid w:val="005D2478"/>
    <w:rsid w:val="0064018C"/>
    <w:rsid w:val="006962F8"/>
    <w:rsid w:val="006A68D2"/>
    <w:rsid w:val="006C0624"/>
    <w:rsid w:val="006C4554"/>
    <w:rsid w:val="007308DB"/>
    <w:rsid w:val="00760464"/>
    <w:rsid w:val="00773E8E"/>
    <w:rsid w:val="007A0D48"/>
    <w:rsid w:val="007E06D8"/>
    <w:rsid w:val="00805603"/>
    <w:rsid w:val="008070D5"/>
    <w:rsid w:val="008452CA"/>
    <w:rsid w:val="0086351C"/>
    <w:rsid w:val="0088093F"/>
    <w:rsid w:val="008C220A"/>
    <w:rsid w:val="008D2535"/>
    <w:rsid w:val="008D4008"/>
    <w:rsid w:val="008D687A"/>
    <w:rsid w:val="0095491A"/>
    <w:rsid w:val="00975AAE"/>
    <w:rsid w:val="009B04BC"/>
    <w:rsid w:val="009C5517"/>
    <w:rsid w:val="00A27033"/>
    <w:rsid w:val="00A47923"/>
    <w:rsid w:val="00AA2639"/>
    <w:rsid w:val="00AD2123"/>
    <w:rsid w:val="00B00EED"/>
    <w:rsid w:val="00B1762C"/>
    <w:rsid w:val="00B44A2C"/>
    <w:rsid w:val="00B60F88"/>
    <w:rsid w:val="00B85BC9"/>
    <w:rsid w:val="00C07080"/>
    <w:rsid w:val="00C4321F"/>
    <w:rsid w:val="00C61A27"/>
    <w:rsid w:val="00CA67E0"/>
    <w:rsid w:val="00CD20E9"/>
    <w:rsid w:val="00D57D98"/>
    <w:rsid w:val="00D84E18"/>
    <w:rsid w:val="00DB24E8"/>
    <w:rsid w:val="00DB7946"/>
    <w:rsid w:val="00DE265E"/>
    <w:rsid w:val="00DE56A9"/>
    <w:rsid w:val="00E13FF9"/>
    <w:rsid w:val="00E1449A"/>
    <w:rsid w:val="00E4633D"/>
    <w:rsid w:val="00E5743E"/>
    <w:rsid w:val="00EA1417"/>
    <w:rsid w:val="00ED76BF"/>
    <w:rsid w:val="00EF63EA"/>
    <w:rsid w:val="00F11B39"/>
    <w:rsid w:val="00F95725"/>
    <w:rsid w:val="00FA715D"/>
    <w:rsid w:val="00FB6F95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58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63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58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6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5298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bmwf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 Martin</dc:creator>
  <cp:lastModifiedBy>raffelsederj</cp:lastModifiedBy>
  <cp:revision>2</cp:revision>
  <dcterms:created xsi:type="dcterms:W3CDTF">2014-07-07T10:57:00Z</dcterms:created>
  <dcterms:modified xsi:type="dcterms:W3CDTF">2014-07-07T10:57:00Z</dcterms:modified>
</cp:coreProperties>
</file>