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5A0" w:rsidRDefault="00C953F5">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7EAA71ADEEF4423A05683181D65B4A9" style="width:450.25pt;height:513.1pt">
            <v:imagedata r:id="rId9" o:title=""/>
          </v:shape>
        </w:pict>
      </w:r>
      <w:bookmarkEnd w:id="1"/>
    </w:p>
    <w:bookmarkEnd w:id="0"/>
    <w:p w:rsidR="00E535A0" w:rsidRDefault="00E535A0">
      <w:pPr>
        <w:spacing w:line="240" w:lineRule="auto"/>
        <w:rPr>
          <w:noProof/>
        </w:rPr>
        <w:sectPr w:rsidR="00E535A0">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E535A0" w:rsidRDefault="00E535A0">
      <w:pPr>
        <w:spacing w:line="240" w:lineRule="auto"/>
        <w:rPr>
          <w:noProof/>
        </w:rPr>
      </w:pPr>
    </w:p>
    <w:p w:rsidR="00E535A0" w:rsidRDefault="00C953F5">
      <w:pPr>
        <w:pStyle w:val="Typedudocument"/>
        <w:rPr>
          <w:noProof/>
        </w:rPr>
      </w:pPr>
      <w:r>
        <w:rPr>
          <w:noProof/>
        </w:rPr>
        <w:t>COMMISSION STAFF WORKING DOCUMENT</w:t>
      </w:r>
    </w:p>
    <w:p w:rsidR="00E535A0" w:rsidRDefault="00C953F5">
      <w:pPr>
        <w:pStyle w:val="Titreobjet"/>
        <w:rPr>
          <w:noProof/>
        </w:rPr>
      </w:pPr>
      <w:r>
        <w:rPr>
          <w:noProof/>
        </w:rPr>
        <w:t>Annexes</w:t>
      </w:r>
    </w:p>
    <w:p w:rsidR="00E535A0" w:rsidRDefault="00C953F5">
      <w:pPr>
        <w:pStyle w:val="Accompagnant"/>
        <w:rPr>
          <w:noProof/>
        </w:rPr>
      </w:pPr>
      <w:r>
        <w:rPr>
          <w:noProof/>
        </w:rPr>
        <w:t>Accompanying the document</w:t>
      </w:r>
    </w:p>
    <w:p w:rsidR="00E535A0" w:rsidRDefault="00C953F5">
      <w:pPr>
        <w:pStyle w:val="Typeacteprincipal"/>
        <w:rPr>
          <w:noProof/>
        </w:rPr>
      </w:pPr>
      <w:r>
        <w:rPr>
          <w:noProof/>
        </w:rPr>
        <w:t xml:space="preserve">COMMUNICATION FROM THE </w:t>
      </w:r>
      <w:r>
        <w:rPr>
          <w:noProof/>
        </w:rPr>
        <w:t>COMMMISSION TO THE COUNCIL, THE EUROPEAN PARLIAMENT, THE EUROPEAN ECONOMIC AND SOCIAL COMMITTEE AND THE COMMITTEE OF THE REGIONS</w:t>
      </w:r>
    </w:p>
    <w:p w:rsidR="00E535A0" w:rsidRDefault="00C953F5">
      <w:pPr>
        <w:pStyle w:val="Objetacteprincipal"/>
        <w:rPr>
          <w:noProof/>
        </w:rPr>
      </w:pPr>
      <w:r>
        <w:rPr>
          <w:noProof/>
        </w:rPr>
        <w:t>On the Response to the Report of the High Level Expert Group on the Ex-Post Evaluation of the Seventh Framework Programme</w:t>
      </w:r>
    </w:p>
    <w:p w:rsidR="00E535A0" w:rsidRDefault="00E535A0">
      <w:pPr>
        <w:pStyle w:val="Verzeichnis1"/>
        <w:ind w:left="0" w:firstLine="0"/>
        <w:rPr>
          <w:b/>
          <w:noProof/>
        </w:rPr>
        <w:sectPr w:rsidR="00E535A0">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cols w:space="720"/>
          <w:titlePg/>
          <w:docGrid w:linePitch="360"/>
        </w:sectPr>
      </w:pPr>
    </w:p>
    <w:p w:rsidR="00E535A0" w:rsidRDefault="00E535A0">
      <w:pPr>
        <w:pStyle w:val="Verzeichnis1"/>
        <w:ind w:left="0" w:firstLine="0"/>
        <w:rPr>
          <w:b/>
          <w:noProof/>
        </w:rPr>
      </w:pPr>
    </w:p>
    <w:p w:rsidR="00E535A0" w:rsidRDefault="00C953F5">
      <w:pPr>
        <w:rPr>
          <w:noProof/>
        </w:rPr>
      </w:pPr>
      <w:r>
        <w:rPr>
          <w:noProof/>
        </w:rPr>
        <w:t xml:space="preserve"> </w:t>
      </w:r>
    </w:p>
    <w:p w:rsidR="00E535A0" w:rsidRDefault="00C953F5">
      <w:pPr>
        <w:rPr>
          <w:noProof/>
        </w:rPr>
      </w:pPr>
      <w:r>
        <w:rPr>
          <w:noProof/>
        </w:rPr>
        <w:t xml:space="preserve"> </w:t>
      </w:r>
    </w:p>
    <w:p w:rsidR="00E535A0" w:rsidRDefault="00C953F5">
      <w:pPr>
        <w:rPr>
          <w:noProof/>
        </w:rPr>
      </w:pPr>
      <w:r>
        <w:rPr>
          <w:noProof/>
        </w:rPr>
        <w:t xml:space="preserve"> </w:t>
      </w:r>
    </w:p>
    <w:p w:rsidR="00E535A0" w:rsidRDefault="00E535A0">
      <w:pPr>
        <w:pStyle w:val="Verzeichnis1"/>
        <w:ind w:left="0" w:firstLine="0"/>
        <w:rPr>
          <w:b/>
          <w:noProof/>
        </w:rPr>
      </w:pPr>
    </w:p>
    <w:p w:rsidR="00E535A0" w:rsidRDefault="00C953F5">
      <w:pPr>
        <w:pStyle w:val="Verzeichnis1"/>
        <w:ind w:left="0" w:firstLine="0"/>
        <w:rPr>
          <w:b/>
          <w:noProof/>
        </w:rPr>
      </w:pPr>
      <w:r>
        <w:rPr>
          <w:b/>
          <w:noProof/>
        </w:rPr>
        <w:t>Table of Contents</w:t>
      </w:r>
    </w:p>
    <w:p w:rsidR="00E535A0" w:rsidRDefault="00C953F5">
      <w:pPr>
        <w:pStyle w:val="Verzeichnis1"/>
        <w:rPr>
          <w:rFonts w:asciiTheme="minorHAnsi" w:eastAsiaTheme="minorEastAsia" w:hAnsiTheme="minorHAnsi" w:cstheme="minorBidi"/>
          <w:caps w:val="0"/>
          <w:noProof/>
          <w:sz w:val="22"/>
          <w:szCs w:val="22"/>
          <w:lang w:eastAsia="en-GB"/>
        </w:rPr>
      </w:pPr>
      <w:r>
        <w:rPr>
          <w:b/>
          <w:noProof/>
        </w:rPr>
        <w:fldChar w:fldCharType="begin"/>
      </w:r>
      <w:r>
        <w:rPr>
          <w:b/>
          <w:noProof/>
        </w:rPr>
        <w:instrText xml:space="preserve"> TOC \o "1-1" \h \z \u </w:instrText>
      </w:r>
      <w:r>
        <w:rPr>
          <w:b/>
          <w:noProof/>
        </w:rPr>
        <w:fldChar w:fldCharType="separate"/>
      </w:r>
      <w:hyperlink w:anchor="_Toc439752802" w:history="1">
        <w:r>
          <w:rPr>
            <w:rStyle w:val="Hyperlink"/>
            <w:noProof/>
          </w:rPr>
          <w:t>11.</w:t>
        </w:r>
        <w:r>
          <w:rPr>
            <w:rFonts w:asciiTheme="minorHAnsi" w:eastAsiaTheme="minorEastAsia" w:hAnsiTheme="minorHAnsi" w:cstheme="minorBidi"/>
            <w:caps w:val="0"/>
            <w:noProof/>
            <w:sz w:val="22"/>
            <w:szCs w:val="22"/>
            <w:lang w:eastAsia="en-GB"/>
          </w:rPr>
          <w:tab/>
        </w:r>
        <w:r>
          <w:rPr>
            <w:rStyle w:val="Hyperlink"/>
            <w:noProof/>
          </w:rPr>
          <w:t>Ideas Specific Programme</w:t>
        </w:r>
        <w:r>
          <w:rPr>
            <w:noProof/>
            <w:webHidden/>
          </w:rPr>
          <w:tab/>
        </w:r>
        <w:r>
          <w:rPr>
            <w:noProof/>
            <w:webHidden/>
          </w:rPr>
          <w:fldChar w:fldCharType="begin"/>
        </w:r>
        <w:r>
          <w:rPr>
            <w:noProof/>
            <w:webHidden/>
          </w:rPr>
          <w:instrText xml:space="preserve"> PAGEREF _Toc439752802 \h </w:instrText>
        </w:r>
        <w:r>
          <w:rPr>
            <w:noProof/>
            <w:webHidden/>
          </w:rPr>
        </w:r>
        <w:r>
          <w:rPr>
            <w:noProof/>
            <w:webHidden/>
          </w:rPr>
          <w:fldChar w:fldCharType="separate"/>
        </w:r>
        <w:r>
          <w:rPr>
            <w:noProof/>
            <w:webHidden/>
          </w:rPr>
          <w:t>1</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3" w:history="1">
        <w:r>
          <w:rPr>
            <w:rStyle w:val="Hyperlink"/>
            <w:noProof/>
          </w:rPr>
          <w:t>12.</w:t>
        </w:r>
        <w:r>
          <w:rPr>
            <w:rFonts w:asciiTheme="minorHAnsi" w:eastAsiaTheme="minorEastAsia" w:hAnsiTheme="minorHAnsi" w:cstheme="minorBidi"/>
            <w:caps w:val="0"/>
            <w:noProof/>
            <w:sz w:val="22"/>
            <w:szCs w:val="22"/>
            <w:lang w:eastAsia="en-GB"/>
          </w:rPr>
          <w:tab/>
        </w:r>
        <w:r>
          <w:rPr>
            <w:rStyle w:val="Hyperlink"/>
            <w:noProof/>
          </w:rPr>
          <w:t>People Specific Programme</w:t>
        </w:r>
        <w:r>
          <w:rPr>
            <w:noProof/>
            <w:webHidden/>
          </w:rPr>
          <w:tab/>
        </w:r>
        <w:r>
          <w:rPr>
            <w:noProof/>
            <w:webHidden/>
          </w:rPr>
          <w:fldChar w:fldCharType="begin"/>
        </w:r>
        <w:r>
          <w:rPr>
            <w:noProof/>
            <w:webHidden/>
          </w:rPr>
          <w:instrText xml:space="preserve"> PAGEREF _Toc439752803 \h </w:instrText>
        </w:r>
        <w:r>
          <w:rPr>
            <w:noProof/>
            <w:webHidden/>
          </w:rPr>
        </w:r>
        <w:r>
          <w:rPr>
            <w:noProof/>
            <w:webHidden/>
          </w:rPr>
          <w:fldChar w:fldCharType="separate"/>
        </w:r>
        <w:r>
          <w:rPr>
            <w:noProof/>
            <w:webHidden/>
          </w:rPr>
          <w:t>21</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4" w:history="1">
        <w:r>
          <w:rPr>
            <w:rStyle w:val="Hyperlink"/>
            <w:noProof/>
          </w:rPr>
          <w:t>13.</w:t>
        </w:r>
        <w:r>
          <w:rPr>
            <w:rFonts w:asciiTheme="minorHAnsi" w:eastAsiaTheme="minorEastAsia" w:hAnsiTheme="minorHAnsi" w:cstheme="minorBidi"/>
            <w:caps w:val="0"/>
            <w:noProof/>
            <w:sz w:val="22"/>
            <w:szCs w:val="22"/>
            <w:lang w:eastAsia="en-GB"/>
          </w:rPr>
          <w:tab/>
        </w:r>
        <w:r>
          <w:rPr>
            <w:rStyle w:val="Hyperlink"/>
            <w:noProof/>
          </w:rPr>
          <w:t>Capacities Specific Programme</w:t>
        </w:r>
        <w:r>
          <w:rPr>
            <w:noProof/>
            <w:webHidden/>
          </w:rPr>
          <w:tab/>
        </w:r>
        <w:r>
          <w:rPr>
            <w:noProof/>
            <w:webHidden/>
          </w:rPr>
          <w:fldChar w:fldCharType="begin"/>
        </w:r>
        <w:r>
          <w:rPr>
            <w:noProof/>
            <w:webHidden/>
          </w:rPr>
          <w:instrText xml:space="preserve"> PAGEREF _Toc439752804 \h </w:instrText>
        </w:r>
        <w:r>
          <w:rPr>
            <w:noProof/>
            <w:webHidden/>
          </w:rPr>
        </w:r>
        <w:r>
          <w:rPr>
            <w:noProof/>
            <w:webHidden/>
          </w:rPr>
          <w:fldChar w:fldCharType="separate"/>
        </w:r>
        <w:r>
          <w:rPr>
            <w:noProof/>
            <w:webHidden/>
          </w:rPr>
          <w:t>35</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5" w:history="1">
        <w:r>
          <w:rPr>
            <w:rStyle w:val="Hyperlink"/>
            <w:noProof/>
          </w:rPr>
          <w:t>14.</w:t>
        </w:r>
        <w:r>
          <w:rPr>
            <w:rFonts w:asciiTheme="minorHAnsi" w:eastAsiaTheme="minorEastAsia" w:hAnsiTheme="minorHAnsi" w:cstheme="minorBidi"/>
            <w:caps w:val="0"/>
            <w:noProof/>
            <w:sz w:val="22"/>
            <w:szCs w:val="22"/>
            <w:lang w:eastAsia="en-GB"/>
          </w:rPr>
          <w:tab/>
        </w:r>
        <w:r>
          <w:rPr>
            <w:rStyle w:val="Hyperlink"/>
            <w:noProof/>
          </w:rPr>
          <w:t>Evaluation of Euratom FP7 indirect actions</w:t>
        </w:r>
        <w:r>
          <w:rPr>
            <w:noProof/>
            <w:webHidden/>
          </w:rPr>
          <w:tab/>
        </w:r>
        <w:r>
          <w:rPr>
            <w:noProof/>
            <w:webHidden/>
          </w:rPr>
          <w:fldChar w:fldCharType="begin"/>
        </w:r>
        <w:r>
          <w:rPr>
            <w:noProof/>
            <w:webHidden/>
          </w:rPr>
          <w:instrText xml:space="preserve"> PAGEREF _Toc439752805 \h </w:instrText>
        </w:r>
        <w:r>
          <w:rPr>
            <w:noProof/>
            <w:webHidden/>
          </w:rPr>
        </w:r>
        <w:r>
          <w:rPr>
            <w:noProof/>
            <w:webHidden/>
          </w:rPr>
          <w:fldChar w:fldCharType="separate"/>
        </w:r>
        <w:r>
          <w:rPr>
            <w:noProof/>
            <w:webHidden/>
          </w:rPr>
          <w:t>89</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6" w:history="1">
        <w:r>
          <w:rPr>
            <w:rStyle w:val="Hyperlink"/>
            <w:noProof/>
            <w:lang w:val="fr-FR"/>
          </w:rPr>
          <w:t>15.</w:t>
        </w:r>
        <w:r>
          <w:rPr>
            <w:rFonts w:asciiTheme="minorHAnsi" w:eastAsiaTheme="minorEastAsia" w:hAnsiTheme="minorHAnsi" w:cstheme="minorBidi"/>
            <w:caps w:val="0"/>
            <w:noProof/>
            <w:sz w:val="22"/>
            <w:szCs w:val="22"/>
            <w:lang w:eastAsia="en-GB"/>
          </w:rPr>
          <w:tab/>
        </w:r>
        <w:r>
          <w:rPr>
            <w:rStyle w:val="Hyperlink"/>
            <w:noProof/>
            <w:lang w:val="fr-FR"/>
          </w:rPr>
          <w:t>Joint Technologies Initiatives (JTIs) under FP7</w:t>
        </w:r>
        <w:r>
          <w:rPr>
            <w:noProof/>
            <w:webHidden/>
          </w:rPr>
          <w:tab/>
        </w:r>
        <w:r>
          <w:rPr>
            <w:noProof/>
            <w:webHidden/>
          </w:rPr>
          <w:fldChar w:fldCharType="begin"/>
        </w:r>
        <w:r>
          <w:rPr>
            <w:noProof/>
            <w:webHidden/>
          </w:rPr>
          <w:instrText xml:space="preserve"> PAGEREF _Toc439752806 \h </w:instrText>
        </w:r>
        <w:r>
          <w:rPr>
            <w:noProof/>
            <w:webHidden/>
          </w:rPr>
        </w:r>
        <w:r>
          <w:rPr>
            <w:noProof/>
            <w:webHidden/>
          </w:rPr>
          <w:fldChar w:fldCharType="separate"/>
        </w:r>
        <w:r>
          <w:rPr>
            <w:noProof/>
            <w:webHidden/>
          </w:rPr>
          <w:t>113</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7" w:history="1">
        <w:r>
          <w:rPr>
            <w:rStyle w:val="Hyperlink"/>
            <w:noProof/>
          </w:rPr>
          <w:t>16.</w:t>
        </w:r>
        <w:r>
          <w:rPr>
            <w:rFonts w:asciiTheme="minorHAnsi" w:eastAsiaTheme="minorEastAsia" w:hAnsiTheme="minorHAnsi" w:cstheme="minorBidi"/>
            <w:caps w:val="0"/>
            <w:noProof/>
            <w:sz w:val="22"/>
            <w:szCs w:val="22"/>
            <w:lang w:eastAsia="en-GB"/>
          </w:rPr>
          <w:tab/>
        </w:r>
        <w:r>
          <w:rPr>
            <w:rStyle w:val="Hyperlink"/>
            <w:noProof/>
          </w:rPr>
          <w:t>Joint European Research Programmes under FP7</w:t>
        </w:r>
        <w:r>
          <w:rPr>
            <w:noProof/>
            <w:webHidden/>
          </w:rPr>
          <w:tab/>
        </w:r>
        <w:r>
          <w:rPr>
            <w:noProof/>
            <w:webHidden/>
          </w:rPr>
          <w:fldChar w:fldCharType="begin"/>
        </w:r>
        <w:r>
          <w:rPr>
            <w:noProof/>
            <w:webHidden/>
          </w:rPr>
          <w:instrText xml:space="preserve"> PAGEREF _Toc439752807 \h </w:instrText>
        </w:r>
        <w:r>
          <w:rPr>
            <w:noProof/>
            <w:webHidden/>
          </w:rPr>
        </w:r>
        <w:r>
          <w:rPr>
            <w:noProof/>
            <w:webHidden/>
          </w:rPr>
          <w:fldChar w:fldCharType="separate"/>
        </w:r>
        <w:r>
          <w:rPr>
            <w:noProof/>
            <w:webHidden/>
          </w:rPr>
          <w:t>128</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8" w:history="1">
        <w:r>
          <w:rPr>
            <w:rStyle w:val="Hyperlink"/>
            <w:noProof/>
          </w:rPr>
          <w:t>17.</w:t>
        </w:r>
        <w:r>
          <w:rPr>
            <w:rFonts w:asciiTheme="minorHAnsi" w:eastAsiaTheme="minorEastAsia" w:hAnsiTheme="minorHAnsi" w:cstheme="minorBidi"/>
            <w:caps w:val="0"/>
            <w:noProof/>
            <w:sz w:val="22"/>
            <w:szCs w:val="22"/>
            <w:lang w:eastAsia="en-GB"/>
          </w:rPr>
          <w:tab/>
        </w:r>
        <w:r>
          <w:rPr>
            <w:rStyle w:val="Hyperlink"/>
            <w:noProof/>
          </w:rPr>
          <w:t>Emergence of contractual PPPs as a response to the economic crisis</w:t>
        </w:r>
        <w:r>
          <w:rPr>
            <w:noProof/>
            <w:webHidden/>
          </w:rPr>
          <w:tab/>
        </w:r>
        <w:r>
          <w:rPr>
            <w:noProof/>
            <w:webHidden/>
          </w:rPr>
          <w:fldChar w:fldCharType="begin"/>
        </w:r>
        <w:r>
          <w:rPr>
            <w:noProof/>
            <w:webHidden/>
          </w:rPr>
          <w:instrText xml:space="preserve"> PAGEREF _Toc439752808 \h </w:instrText>
        </w:r>
        <w:r>
          <w:rPr>
            <w:noProof/>
            <w:webHidden/>
          </w:rPr>
        </w:r>
        <w:r>
          <w:rPr>
            <w:noProof/>
            <w:webHidden/>
          </w:rPr>
          <w:fldChar w:fldCharType="separate"/>
        </w:r>
        <w:r>
          <w:rPr>
            <w:noProof/>
            <w:webHidden/>
          </w:rPr>
          <w:t>132</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09" w:history="1">
        <w:r>
          <w:rPr>
            <w:rStyle w:val="Hyperlink"/>
            <w:noProof/>
          </w:rPr>
          <w:t>18.</w:t>
        </w:r>
        <w:r>
          <w:rPr>
            <w:rFonts w:asciiTheme="minorHAnsi" w:eastAsiaTheme="minorEastAsia" w:hAnsiTheme="minorHAnsi" w:cstheme="minorBidi"/>
            <w:caps w:val="0"/>
            <w:noProof/>
            <w:sz w:val="22"/>
            <w:szCs w:val="22"/>
            <w:lang w:eastAsia="en-GB"/>
          </w:rPr>
          <w:tab/>
        </w:r>
        <w:r>
          <w:rPr>
            <w:rStyle w:val="Hyperlink"/>
            <w:noProof/>
          </w:rPr>
          <w:t>Evaluation of the EURAXESS P</w:t>
        </w:r>
        <w:r>
          <w:rPr>
            <w:rStyle w:val="Hyperlink"/>
            <w:noProof/>
          </w:rPr>
          <w:t>roject (2008-2012)</w:t>
        </w:r>
        <w:r>
          <w:rPr>
            <w:noProof/>
            <w:webHidden/>
          </w:rPr>
          <w:tab/>
        </w:r>
        <w:r>
          <w:rPr>
            <w:noProof/>
            <w:webHidden/>
          </w:rPr>
          <w:fldChar w:fldCharType="begin"/>
        </w:r>
        <w:r>
          <w:rPr>
            <w:noProof/>
            <w:webHidden/>
          </w:rPr>
          <w:instrText xml:space="preserve"> PAGEREF _Toc439752809 \h </w:instrText>
        </w:r>
        <w:r>
          <w:rPr>
            <w:noProof/>
            <w:webHidden/>
          </w:rPr>
        </w:r>
        <w:r>
          <w:rPr>
            <w:noProof/>
            <w:webHidden/>
          </w:rPr>
          <w:fldChar w:fldCharType="separate"/>
        </w:r>
        <w:r>
          <w:rPr>
            <w:noProof/>
            <w:webHidden/>
          </w:rPr>
          <w:t>134</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0" w:history="1">
        <w:r>
          <w:rPr>
            <w:rStyle w:val="Hyperlink"/>
            <w:noProof/>
          </w:rPr>
          <w:t>19.</w:t>
        </w:r>
        <w:r>
          <w:rPr>
            <w:rFonts w:asciiTheme="minorHAnsi" w:eastAsiaTheme="minorEastAsia" w:hAnsiTheme="minorHAnsi" w:cstheme="minorBidi"/>
            <w:caps w:val="0"/>
            <w:noProof/>
            <w:sz w:val="22"/>
            <w:szCs w:val="22"/>
            <w:lang w:eastAsia="en-GB"/>
          </w:rPr>
          <w:tab/>
        </w:r>
        <w:r>
          <w:rPr>
            <w:rStyle w:val="Hyperlink"/>
            <w:noProof/>
          </w:rPr>
          <w:t>Open Access to Scientific Peer Reviewed Publications in FP7</w:t>
        </w:r>
        <w:r>
          <w:rPr>
            <w:noProof/>
            <w:webHidden/>
          </w:rPr>
          <w:tab/>
        </w:r>
        <w:r>
          <w:rPr>
            <w:noProof/>
            <w:webHidden/>
          </w:rPr>
          <w:fldChar w:fldCharType="begin"/>
        </w:r>
        <w:r>
          <w:rPr>
            <w:noProof/>
            <w:webHidden/>
          </w:rPr>
          <w:instrText xml:space="preserve"> PAGEREF _Toc439752810 \h </w:instrText>
        </w:r>
        <w:r>
          <w:rPr>
            <w:noProof/>
            <w:webHidden/>
          </w:rPr>
        </w:r>
        <w:r>
          <w:rPr>
            <w:noProof/>
            <w:webHidden/>
          </w:rPr>
          <w:fldChar w:fldCharType="separate"/>
        </w:r>
        <w:r>
          <w:rPr>
            <w:noProof/>
            <w:webHidden/>
          </w:rPr>
          <w:t>136</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1" w:history="1">
        <w:r>
          <w:rPr>
            <w:rStyle w:val="Hyperlink"/>
            <w:noProof/>
          </w:rPr>
          <w:t>20.</w:t>
        </w:r>
        <w:r>
          <w:rPr>
            <w:rFonts w:asciiTheme="minorHAnsi" w:eastAsiaTheme="minorEastAsia" w:hAnsiTheme="minorHAnsi" w:cstheme="minorBidi"/>
            <w:caps w:val="0"/>
            <w:noProof/>
            <w:sz w:val="22"/>
            <w:szCs w:val="22"/>
            <w:lang w:eastAsia="en-GB"/>
          </w:rPr>
          <w:tab/>
        </w:r>
        <w:r>
          <w:rPr>
            <w:rStyle w:val="Hyperlink"/>
            <w:noProof/>
          </w:rPr>
          <w:t>The recommendations from FP7 Interim evaluation and their follow up</w:t>
        </w:r>
        <w:r>
          <w:rPr>
            <w:noProof/>
            <w:webHidden/>
          </w:rPr>
          <w:tab/>
        </w:r>
        <w:r>
          <w:rPr>
            <w:noProof/>
            <w:webHidden/>
          </w:rPr>
          <w:fldChar w:fldCharType="begin"/>
        </w:r>
        <w:r>
          <w:rPr>
            <w:noProof/>
            <w:webHidden/>
          </w:rPr>
          <w:instrText xml:space="preserve"> PAGEREF _Toc439752811 \h </w:instrText>
        </w:r>
        <w:r>
          <w:rPr>
            <w:noProof/>
            <w:webHidden/>
          </w:rPr>
        </w:r>
        <w:r>
          <w:rPr>
            <w:noProof/>
            <w:webHidden/>
          </w:rPr>
          <w:fldChar w:fldCharType="separate"/>
        </w:r>
        <w:r>
          <w:rPr>
            <w:noProof/>
            <w:webHidden/>
          </w:rPr>
          <w:t>141</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2" w:history="1">
        <w:r>
          <w:rPr>
            <w:rStyle w:val="Hyperlink"/>
            <w:noProof/>
          </w:rPr>
          <w:t>21.</w:t>
        </w:r>
        <w:r>
          <w:rPr>
            <w:rFonts w:asciiTheme="minorHAnsi" w:eastAsiaTheme="minorEastAsia" w:hAnsiTheme="minorHAnsi" w:cstheme="minorBidi"/>
            <w:caps w:val="0"/>
            <w:noProof/>
            <w:sz w:val="22"/>
            <w:szCs w:val="22"/>
            <w:lang w:eastAsia="en-GB"/>
          </w:rPr>
          <w:tab/>
        </w:r>
        <w:r>
          <w:rPr>
            <w:rStyle w:val="Hyperlink"/>
            <w:noProof/>
          </w:rPr>
          <w:t>The Assessment of Impact of FP7 At National Level</w:t>
        </w:r>
        <w:r>
          <w:rPr>
            <w:noProof/>
            <w:webHidden/>
          </w:rPr>
          <w:tab/>
        </w:r>
        <w:r>
          <w:rPr>
            <w:noProof/>
            <w:webHidden/>
          </w:rPr>
          <w:fldChar w:fldCharType="begin"/>
        </w:r>
        <w:r>
          <w:rPr>
            <w:noProof/>
            <w:webHidden/>
          </w:rPr>
          <w:instrText xml:space="preserve"> PAGEREF _Toc439752812 \h </w:instrText>
        </w:r>
        <w:r>
          <w:rPr>
            <w:noProof/>
            <w:webHidden/>
          </w:rPr>
        </w:r>
        <w:r>
          <w:rPr>
            <w:noProof/>
            <w:webHidden/>
          </w:rPr>
          <w:fldChar w:fldCharType="separate"/>
        </w:r>
        <w:r>
          <w:rPr>
            <w:noProof/>
            <w:webHidden/>
          </w:rPr>
          <w:t>158</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3" w:history="1">
        <w:r>
          <w:rPr>
            <w:rStyle w:val="Hyperlink"/>
            <w:noProof/>
          </w:rPr>
          <w:t>22.</w:t>
        </w:r>
        <w:r>
          <w:rPr>
            <w:rFonts w:asciiTheme="minorHAnsi" w:eastAsiaTheme="minorEastAsia" w:hAnsiTheme="minorHAnsi" w:cstheme="minorBidi"/>
            <w:caps w:val="0"/>
            <w:noProof/>
            <w:sz w:val="22"/>
            <w:szCs w:val="22"/>
            <w:lang w:eastAsia="en-GB"/>
          </w:rPr>
          <w:tab/>
        </w:r>
        <w:r>
          <w:rPr>
            <w:rStyle w:val="Hyperlink"/>
            <w:noProof/>
          </w:rPr>
          <w:t>COST (Co-operation in Science and Technology)</w:t>
        </w:r>
        <w:r>
          <w:rPr>
            <w:noProof/>
            <w:webHidden/>
          </w:rPr>
          <w:tab/>
        </w:r>
        <w:r>
          <w:rPr>
            <w:noProof/>
            <w:webHidden/>
          </w:rPr>
          <w:fldChar w:fldCharType="begin"/>
        </w:r>
        <w:r>
          <w:rPr>
            <w:noProof/>
            <w:webHidden/>
          </w:rPr>
          <w:instrText xml:space="preserve"> PAGEREF _Toc439752813 \h </w:instrText>
        </w:r>
        <w:r>
          <w:rPr>
            <w:noProof/>
            <w:webHidden/>
          </w:rPr>
        </w:r>
        <w:r>
          <w:rPr>
            <w:noProof/>
            <w:webHidden/>
          </w:rPr>
          <w:fldChar w:fldCharType="separate"/>
        </w:r>
        <w:r>
          <w:rPr>
            <w:noProof/>
            <w:webHidden/>
          </w:rPr>
          <w:t>168</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4" w:history="1">
        <w:r>
          <w:rPr>
            <w:rStyle w:val="Hyperlink"/>
            <w:noProof/>
            <w:lang w:eastAsia="en-GB"/>
          </w:rPr>
          <w:t>23.</w:t>
        </w:r>
        <w:r>
          <w:rPr>
            <w:rFonts w:asciiTheme="minorHAnsi" w:eastAsiaTheme="minorEastAsia" w:hAnsiTheme="minorHAnsi" w:cstheme="minorBidi"/>
            <w:caps w:val="0"/>
            <w:noProof/>
            <w:sz w:val="22"/>
            <w:szCs w:val="22"/>
            <w:lang w:eastAsia="en-GB"/>
          </w:rPr>
          <w:tab/>
        </w:r>
        <w:r>
          <w:rPr>
            <w:rStyle w:val="Hyperlink"/>
            <w:noProof/>
            <w:lang w:eastAsia="en-GB"/>
          </w:rPr>
          <w:t>Ex-post evaluation of FP 7 using the NEMESIS m</w:t>
        </w:r>
        <w:r>
          <w:rPr>
            <w:rStyle w:val="Hyperlink"/>
            <w:noProof/>
            <w:lang w:eastAsia="en-GB"/>
          </w:rPr>
          <w:t>odel</w:t>
        </w:r>
        <w:r>
          <w:rPr>
            <w:noProof/>
            <w:webHidden/>
          </w:rPr>
          <w:tab/>
        </w:r>
        <w:r>
          <w:rPr>
            <w:noProof/>
            <w:webHidden/>
          </w:rPr>
          <w:fldChar w:fldCharType="begin"/>
        </w:r>
        <w:r>
          <w:rPr>
            <w:noProof/>
            <w:webHidden/>
          </w:rPr>
          <w:instrText xml:space="preserve"> PAGEREF _Toc439752814 \h </w:instrText>
        </w:r>
        <w:r>
          <w:rPr>
            <w:noProof/>
            <w:webHidden/>
          </w:rPr>
        </w:r>
        <w:r>
          <w:rPr>
            <w:noProof/>
            <w:webHidden/>
          </w:rPr>
          <w:fldChar w:fldCharType="separate"/>
        </w:r>
        <w:r>
          <w:rPr>
            <w:noProof/>
            <w:webHidden/>
          </w:rPr>
          <w:t>170</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5" w:history="1">
        <w:r>
          <w:rPr>
            <w:rStyle w:val="Hyperlink"/>
            <w:noProof/>
          </w:rPr>
          <w:t>24.</w:t>
        </w:r>
        <w:r>
          <w:rPr>
            <w:rFonts w:asciiTheme="minorHAnsi" w:eastAsiaTheme="minorEastAsia" w:hAnsiTheme="minorHAnsi" w:cstheme="minorBidi"/>
            <w:caps w:val="0"/>
            <w:noProof/>
            <w:sz w:val="22"/>
            <w:szCs w:val="22"/>
            <w:lang w:eastAsia="en-GB"/>
          </w:rPr>
          <w:tab/>
        </w:r>
        <w:r>
          <w:rPr>
            <w:rStyle w:val="Hyperlink"/>
            <w:noProof/>
          </w:rPr>
          <w:t>FP7 publication data</w:t>
        </w:r>
        <w:r>
          <w:rPr>
            <w:noProof/>
            <w:webHidden/>
          </w:rPr>
          <w:tab/>
        </w:r>
        <w:r>
          <w:rPr>
            <w:noProof/>
            <w:webHidden/>
          </w:rPr>
          <w:fldChar w:fldCharType="begin"/>
        </w:r>
        <w:r>
          <w:rPr>
            <w:noProof/>
            <w:webHidden/>
          </w:rPr>
          <w:instrText xml:space="preserve"> PAGEREF _Toc439752815 \h </w:instrText>
        </w:r>
        <w:r>
          <w:rPr>
            <w:noProof/>
            <w:webHidden/>
          </w:rPr>
        </w:r>
        <w:r>
          <w:rPr>
            <w:noProof/>
            <w:webHidden/>
          </w:rPr>
          <w:fldChar w:fldCharType="separate"/>
        </w:r>
        <w:r>
          <w:rPr>
            <w:noProof/>
            <w:webHidden/>
          </w:rPr>
          <w:t>179</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6" w:history="1">
        <w:r>
          <w:rPr>
            <w:rStyle w:val="Hyperlink"/>
            <w:noProof/>
          </w:rPr>
          <w:t>25.</w:t>
        </w:r>
        <w:r>
          <w:rPr>
            <w:rFonts w:asciiTheme="minorHAnsi" w:eastAsiaTheme="minorEastAsia" w:hAnsiTheme="minorHAnsi" w:cstheme="minorBidi"/>
            <w:caps w:val="0"/>
            <w:noProof/>
            <w:sz w:val="22"/>
            <w:szCs w:val="22"/>
            <w:lang w:eastAsia="en-GB"/>
          </w:rPr>
          <w:tab/>
        </w:r>
        <w:r>
          <w:rPr>
            <w:rStyle w:val="Hyperlink"/>
            <w:noProof/>
          </w:rPr>
          <w:t>The Community Innovation Survey and FP7 innovation performance</w:t>
        </w:r>
        <w:r>
          <w:rPr>
            <w:noProof/>
            <w:webHidden/>
          </w:rPr>
          <w:tab/>
        </w:r>
        <w:r>
          <w:rPr>
            <w:noProof/>
            <w:webHidden/>
          </w:rPr>
          <w:fldChar w:fldCharType="begin"/>
        </w:r>
        <w:r>
          <w:rPr>
            <w:noProof/>
            <w:webHidden/>
          </w:rPr>
          <w:instrText xml:space="preserve"> PAGEREF _Toc439752816 \h </w:instrText>
        </w:r>
        <w:r>
          <w:rPr>
            <w:noProof/>
            <w:webHidden/>
          </w:rPr>
        </w:r>
        <w:r>
          <w:rPr>
            <w:noProof/>
            <w:webHidden/>
          </w:rPr>
          <w:fldChar w:fldCharType="separate"/>
        </w:r>
        <w:r>
          <w:rPr>
            <w:noProof/>
            <w:webHidden/>
          </w:rPr>
          <w:t>192</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7" w:history="1">
        <w:r>
          <w:rPr>
            <w:rStyle w:val="Hyperlink"/>
            <w:noProof/>
          </w:rPr>
          <w:t>26.</w:t>
        </w:r>
        <w:r>
          <w:rPr>
            <w:rFonts w:asciiTheme="minorHAnsi" w:eastAsiaTheme="minorEastAsia" w:hAnsiTheme="minorHAnsi" w:cstheme="minorBidi"/>
            <w:caps w:val="0"/>
            <w:noProof/>
            <w:sz w:val="22"/>
            <w:szCs w:val="22"/>
            <w:lang w:eastAsia="en-GB"/>
          </w:rPr>
          <w:tab/>
        </w:r>
        <w:r>
          <w:rPr>
            <w:rStyle w:val="Hyperlink"/>
            <w:noProof/>
          </w:rPr>
          <w:t>Contribution of FP7 themes and actions to overarching and specific objectives</w:t>
        </w:r>
        <w:r>
          <w:rPr>
            <w:noProof/>
            <w:webHidden/>
          </w:rPr>
          <w:tab/>
        </w:r>
        <w:r>
          <w:rPr>
            <w:noProof/>
            <w:webHidden/>
          </w:rPr>
          <w:fldChar w:fldCharType="begin"/>
        </w:r>
        <w:r>
          <w:rPr>
            <w:noProof/>
            <w:webHidden/>
          </w:rPr>
          <w:instrText xml:space="preserve"> PAGEREF _Toc439752817 \h </w:instrText>
        </w:r>
        <w:r>
          <w:rPr>
            <w:noProof/>
            <w:webHidden/>
          </w:rPr>
        </w:r>
        <w:r>
          <w:rPr>
            <w:noProof/>
            <w:webHidden/>
          </w:rPr>
          <w:fldChar w:fldCharType="separate"/>
        </w:r>
        <w:r>
          <w:rPr>
            <w:noProof/>
            <w:webHidden/>
          </w:rPr>
          <w:t>194</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8" w:history="1">
        <w:r>
          <w:rPr>
            <w:rStyle w:val="Hyperlink"/>
            <w:noProof/>
          </w:rPr>
          <w:t>27.</w:t>
        </w:r>
        <w:r>
          <w:rPr>
            <w:rFonts w:asciiTheme="minorHAnsi" w:eastAsiaTheme="minorEastAsia" w:hAnsiTheme="minorHAnsi" w:cstheme="minorBidi"/>
            <w:caps w:val="0"/>
            <w:noProof/>
            <w:sz w:val="22"/>
            <w:szCs w:val="22"/>
            <w:lang w:eastAsia="en-GB"/>
          </w:rPr>
          <w:tab/>
        </w:r>
        <w:r>
          <w:rPr>
            <w:rStyle w:val="Hyperlink"/>
            <w:noProof/>
          </w:rPr>
          <w:t>FP7 Achievements according to the High Level Expert Group on the ex-post evaluation of FP7</w:t>
        </w:r>
        <w:r>
          <w:rPr>
            <w:noProof/>
            <w:webHidden/>
          </w:rPr>
          <w:tab/>
        </w:r>
        <w:r>
          <w:rPr>
            <w:noProof/>
            <w:webHidden/>
          </w:rPr>
          <w:fldChar w:fldCharType="begin"/>
        </w:r>
        <w:r>
          <w:rPr>
            <w:noProof/>
            <w:webHidden/>
          </w:rPr>
          <w:instrText xml:space="preserve"> PAGEREF _Toc439752818 \h </w:instrText>
        </w:r>
        <w:r>
          <w:rPr>
            <w:noProof/>
            <w:webHidden/>
          </w:rPr>
        </w:r>
        <w:r>
          <w:rPr>
            <w:noProof/>
            <w:webHidden/>
          </w:rPr>
          <w:fldChar w:fldCharType="separate"/>
        </w:r>
        <w:r>
          <w:rPr>
            <w:noProof/>
            <w:webHidden/>
          </w:rPr>
          <w:t>200</w:t>
        </w:r>
        <w:r>
          <w:rPr>
            <w:noProof/>
            <w:webHidden/>
          </w:rPr>
          <w:fldChar w:fldCharType="end"/>
        </w:r>
      </w:hyperlink>
    </w:p>
    <w:p w:rsidR="00E535A0" w:rsidRDefault="00C953F5">
      <w:pPr>
        <w:pStyle w:val="Verzeichnis1"/>
        <w:rPr>
          <w:rFonts w:asciiTheme="minorHAnsi" w:eastAsiaTheme="minorEastAsia" w:hAnsiTheme="minorHAnsi" w:cstheme="minorBidi"/>
          <w:caps w:val="0"/>
          <w:noProof/>
          <w:sz w:val="22"/>
          <w:szCs w:val="22"/>
          <w:lang w:eastAsia="en-GB"/>
        </w:rPr>
      </w:pPr>
      <w:hyperlink w:anchor="_Toc439752819" w:history="1">
        <w:r>
          <w:rPr>
            <w:rStyle w:val="Hyperlink"/>
            <w:noProof/>
          </w:rPr>
          <w:t>28.</w:t>
        </w:r>
        <w:r>
          <w:rPr>
            <w:rFonts w:asciiTheme="minorHAnsi" w:eastAsiaTheme="minorEastAsia" w:hAnsiTheme="minorHAnsi" w:cstheme="minorBidi"/>
            <w:caps w:val="0"/>
            <w:noProof/>
            <w:sz w:val="22"/>
            <w:szCs w:val="22"/>
            <w:lang w:eastAsia="en-GB"/>
          </w:rPr>
          <w:tab/>
        </w:r>
        <w:r>
          <w:rPr>
            <w:rStyle w:val="Hyperlink"/>
            <w:noProof/>
          </w:rPr>
          <w:t>List of Acronyms</w:t>
        </w:r>
        <w:r>
          <w:rPr>
            <w:noProof/>
            <w:webHidden/>
          </w:rPr>
          <w:tab/>
        </w:r>
        <w:r>
          <w:rPr>
            <w:noProof/>
            <w:webHidden/>
          </w:rPr>
          <w:fldChar w:fldCharType="begin"/>
        </w:r>
        <w:r>
          <w:rPr>
            <w:noProof/>
            <w:webHidden/>
          </w:rPr>
          <w:instrText xml:space="preserve"> PAGEREF _Toc439752819 \h </w:instrText>
        </w:r>
        <w:r>
          <w:rPr>
            <w:noProof/>
            <w:webHidden/>
          </w:rPr>
        </w:r>
        <w:r>
          <w:rPr>
            <w:noProof/>
            <w:webHidden/>
          </w:rPr>
          <w:fldChar w:fldCharType="separate"/>
        </w:r>
        <w:r>
          <w:rPr>
            <w:noProof/>
            <w:webHidden/>
          </w:rPr>
          <w:t>202</w:t>
        </w:r>
        <w:r>
          <w:rPr>
            <w:noProof/>
            <w:webHidden/>
          </w:rPr>
          <w:fldChar w:fldCharType="end"/>
        </w:r>
      </w:hyperlink>
    </w:p>
    <w:p w:rsidR="00E535A0" w:rsidRDefault="00C953F5">
      <w:pPr>
        <w:spacing w:line="240" w:lineRule="auto"/>
        <w:rPr>
          <w:noProof/>
        </w:rPr>
      </w:pPr>
      <w:r>
        <w:rPr>
          <w:noProof/>
        </w:rPr>
        <w:fldChar w:fldCharType="end"/>
      </w:r>
      <w:r>
        <w:rPr>
          <w:noProof/>
        </w:rPr>
        <w:tab/>
      </w:r>
    </w:p>
    <w:p w:rsidR="00E535A0" w:rsidRDefault="00E535A0">
      <w:pPr>
        <w:spacing w:line="240" w:lineRule="auto"/>
        <w:rPr>
          <w:noProof/>
        </w:rPr>
        <w:sectPr w:rsidR="00E535A0">
          <w:headerReference w:type="even" r:id="rId22"/>
          <w:headerReference w:type="default" r:id="rId23"/>
          <w:footerReference w:type="even" r:id="rId24"/>
          <w:footerReference w:type="default" r:id="rId25"/>
          <w:headerReference w:type="first" r:id="rId26"/>
          <w:footerReference w:type="first" r:id="rId27"/>
          <w:pgSz w:w="11906" w:h="16838"/>
          <w:pgMar w:top="1134" w:right="1417" w:bottom="1134" w:left="1417" w:header="709" w:footer="709" w:gutter="0"/>
          <w:cols w:space="720"/>
          <w:titlePg/>
          <w:docGrid w:linePitch="360"/>
        </w:sectPr>
      </w:pPr>
    </w:p>
    <w:p w:rsidR="00E535A0" w:rsidRDefault="00C953F5">
      <w:pPr>
        <w:pStyle w:val="berschrift1"/>
        <w:rPr>
          <w:noProof/>
        </w:rPr>
      </w:pPr>
      <w:bookmarkStart w:id="2" w:name="_Toc426640892"/>
      <w:bookmarkStart w:id="3" w:name="_Toc433998132"/>
      <w:bookmarkStart w:id="4" w:name="_Toc439752802"/>
      <w:r>
        <w:rPr>
          <w:noProof/>
        </w:rPr>
        <w:lastRenderedPageBreak/>
        <w:t xml:space="preserve">Ideas </w:t>
      </w:r>
      <w:r>
        <w:rPr>
          <w:noProof/>
        </w:rPr>
        <w:t>Specific Programme</w:t>
      </w:r>
      <w:bookmarkEnd w:id="2"/>
      <w:bookmarkEnd w:id="3"/>
      <w:bookmarkEnd w:id="4"/>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Objectives</w:t>
      </w:r>
    </w:p>
    <w:p w:rsidR="00E535A0" w:rsidRDefault="00E535A0">
      <w:pPr>
        <w:spacing w:line="240" w:lineRule="auto"/>
        <w:contextualSpacing/>
        <w:jc w:val="both"/>
        <w:rPr>
          <w:rFonts w:ascii="Times New Roman" w:hAnsi="Times New Roman" w:cs="Times New Roman"/>
          <w:b/>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Original objectives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objective of the Ideas Programme was to support frontier research under the auspices of the European Research Council (ERC).</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Its rationale was to redress Europe’s perceived loss of ground in global </w:t>
      </w:r>
      <w:r>
        <w:rPr>
          <w:rFonts w:ascii="Times New Roman" w:hAnsi="Times New Roman" w:cs="Times New Roman"/>
          <w:noProof/>
          <w:sz w:val="24"/>
          <w:szCs w:val="24"/>
        </w:rPr>
        <w:t>scientific leadership in two main ways. Firstly by providing for the best researchers the resources and autonomy required to realise ground-breaking scientific ideas, in particular for young researchers. And secondly by creating a framework that promoted s</w:t>
      </w:r>
      <w:r>
        <w:rPr>
          <w:rFonts w:ascii="Times New Roman" w:hAnsi="Times New Roman" w:cs="Times New Roman"/>
          <w:noProof/>
          <w:sz w:val="24"/>
          <w:szCs w:val="24"/>
        </w:rPr>
        <w:t>cientific competition, which is essential for excellent scientific ideas to emerge.</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Evolution of objectives to respond to the crisis</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response to the financial crisis European governments and the EU undertook a comprehensive series of actions from rescui</w:t>
      </w:r>
      <w:r>
        <w:rPr>
          <w:rFonts w:ascii="Times New Roman" w:eastAsia="Calibri" w:hAnsi="Times New Roman" w:cs="Times New Roman"/>
          <w:noProof/>
          <w:sz w:val="24"/>
          <w:szCs w:val="24"/>
        </w:rPr>
        <w:t xml:space="preserve">ng the banks to launching a Europe-wide recovery plan. As the financial crisis turned into a debt crisis the </w:t>
      </w:r>
      <w:hyperlink r:id="rId28" w:history="1">
        <w:r>
          <w:rPr>
            <w:rFonts w:ascii="Times New Roman" w:eastAsia="Calibri" w:hAnsi="Times New Roman" w:cs="Times New Roman"/>
            <w:noProof/>
            <w:sz w:val="24"/>
            <w:szCs w:val="24"/>
            <w:u w:val="single"/>
          </w:rPr>
          <w:t>EU respo</w:t>
        </w:r>
        <w:r>
          <w:rPr>
            <w:rFonts w:ascii="Times New Roman" w:eastAsia="Calibri" w:hAnsi="Times New Roman" w:cs="Times New Roman"/>
            <w:noProof/>
            <w:sz w:val="24"/>
            <w:szCs w:val="24"/>
            <w:u w:val="single"/>
          </w:rPr>
          <w:t>nded with a twin track approach of immediate and long-term measures</w:t>
        </w:r>
      </w:hyperlink>
      <w:r>
        <w:rPr>
          <w:rFonts w:ascii="Times New Roman" w:eastAsia="Calibri" w:hAnsi="Times New Roman" w:cs="Times New Roman"/>
          <w:noProof/>
          <w:sz w:val="24"/>
          <w:szCs w:val="24"/>
        </w:rPr>
        <w:t xml:space="preserve">. The long-term measures included </w:t>
      </w:r>
      <w:r>
        <w:rPr>
          <w:rFonts w:ascii="Times New Roman" w:eastAsia="Calibri" w:hAnsi="Times New Roman" w:cs="Times New Roman"/>
          <w:bCs/>
          <w:noProof/>
          <w:sz w:val="24"/>
          <w:szCs w:val="24"/>
          <w:lang w:val="en"/>
        </w:rPr>
        <w:t>ensuring sound public finances and ensuring competitiveness and promoting growth</w:t>
      </w:r>
      <w:r>
        <w:rPr>
          <w:rFonts w:ascii="Times New Roman" w:eastAsia="Calibri" w:hAnsi="Times New Roman" w:cs="Times New Roman"/>
          <w:noProof/>
          <w:sz w:val="24"/>
          <w:szCs w:val="24"/>
        </w:rPr>
        <w:t>.</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Early in 2010, the Commission therefore proposed the </w:t>
      </w:r>
      <w:hyperlink r:id="rId29" w:history="1">
        <w:r>
          <w:rPr>
            <w:rFonts w:ascii="Times New Roman" w:eastAsia="Calibri" w:hAnsi="Times New Roman" w:cs="Times New Roman"/>
            <w:noProof/>
            <w:sz w:val="24"/>
            <w:szCs w:val="24"/>
            <w:u w:val="single"/>
          </w:rPr>
          <w:t>Europe 2020 strategy</w:t>
        </w:r>
      </w:hyperlink>
      <w:r>
        <w:rPr>
          <w:rFonts w:ascii="Times New Roman" w:eastAsia="Calibri" w:hAnsi="Times New Roman" w:cs="Times New Roman"/>
          <w:noProof/>
          <w:sz w:val="24"/>
          <w:szCs w:val="24"/>
        </w:rPr>
        <w:t xml:space="preserve"> to achieve smart, sustainable and inclusive growth building upon the earlier Lisbon Strategy. As part of this strategy the aim of the Innovation Union flagship initiative was to strengthen “ever</w:t>
      </w:r>
      <w:r>
        <w:rPr>
          <w:rFonts w:ascii="Times New Roman" w:eastAsia="Calibri" w:hAnsi="Times New Roman" w:cs="Times New Roman"/>
          <w:noProof/>
          <w:sz w:val="24"/>
          <w:szCs w:val="24"/>
        </w:rPr>
        <w:t>y link in the innovation chain, from 'blue sky' research to commercialisation”. Given this and the continuities with the Lisbon Strategy it was not necessary to alter the overall objectives of the ERC. Nonetheless the Scientific Council of the ERC introduc</w:t>
      </w:r>
      <w:r>
        <w:rPr>
          <w:rFonts w:ascii="Times New Roman" w:eastAsia="Calibri" w:hAnsi="Times New Roman" w:cs="Times New Roman"/>
          <w:noProof/>
          <w:sz w:val="24"/>
          <w:szCs w:val="24"/>
        </w:rPr>
        <w:t>ed the Proof of Concept in 2011 to explore the commercial and social innovation potential of ideas arising from the ERC grants.</w:t>
      </w:r>
    </w:p>
    <w:p w:rsidR="00E535A0" w:rsidRDefault="00E535A0">
      <w:pPr>
        <w:spacing w:line="240" w:lineRule="auto"/>
        <w:jc w:val="both"/>
        <w:rPr>
          <w:rFonts w:ascii="Times New Roman" w:hAnsi="Times New Roman" w:cs="Times New Roman"/>
          <w:b/>
          <w:i/>
          <w:noProof/>
          <w:sz w:val="24"/>
          <w:szCs w:val="24"/>
        </w:rPr>
      </w:pPr>
    </w:p>
    <w:p w:rsidR="00E535A0" w:rsidRDefault="00C953F5">
      <w:pPr>
        <w:spacing w:after="240" w:line="240" w:lineRule="auto"/>
        <w:jc w:val="both"/>
        <w:rPr>
          <w:rFonts w:ascii="Times New Roman" w:eastAsia="Times New Roman" w:hAnsi="Times New Roman" w:cs="Times New Roman"/>
          <w:b/>
          <w:noProof/>
          <w:sz w:val="24"/>
          <w:szCs w:val="24"/>
          <w:lang w:val="en" w:eastAsia="de-DE"/>
        </w:rPr>
      </w:pPr>
      <w:r>
        <w:rPr>
          <w:rFonts w:ascii="Times New Roman" w:eastAsia="Calibri" w:hAnsi="Times New Roman" w:cs="Times New Roman"/>
          <w:b/>
          <w:noProof/>
          <w:sz w:val="24"/>
          <w:szCs w:val="24"/>
        </w:rPr>
        <w:t xml:space="preserve">How did Ideas SP contribute to the competitiveness of European industry?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 xml:space="preserve">Following intensive study by economists over many </w:t>
      </w:r>
      <w:r>
        <w:rPr>
          <w:rFonts w:ascii="Times New Roman" w:hAnsi="Times New Roman" w:cs="Times New Roman"/>
          <w:noProof/>
          <w:sz w:val="24"/>
          <w:szCs w:val="24"/>
          <w:lang w:val="en"/>
        </w:rPr>
        <w:t>years including Robert Solow (who won a Nobel Prize for this work), it is now accepted that technological progress is the critical factor in driving sustained growth in per capita income. This requires more than incremental improvements in current technolo</w:t>
      </w:r>
      <w:r>
        <w:rPr>
          <w:rFonts w:ascii="Times New Roman" w:hAnsi="Times New Roman" w:cs="Times New Roman"/>
          <w:noProof/>
          <w:sz w:val="24"/>
          <w:szCs w:val="24"/>
          <w:lang w:val="en"/>
        </w:rPr>
        <w:t>gies and knowledge. It requires new knowledge that will create whole new sectors and industries to provide high quality jobs, and drive future productivity and growth.</w:t>
      </w:r>
      <w:r>
        <w:rPr>
          <w:rFonts w:ascii="Times New Roman" w:hAnsi="Times New Roman" w:cs="Times New Roman"/>
          <w:noProof/>
          <w:sz w:val="24"/>
          <w:szCs w:val="24"/>
        </w:rPr>
        <w:t xml:space="preserve"> Allowing researchers the freedom to explore ideas at the frontiers of knowledge as the E</w:t>
      </w:r>
      <w:r>
        <w:rPr>
          <w:rFonts w:ascii="Times New Roman" w:hAnsi="Times New Roman" w:cs="Times New Roman"/>
          <w:noProof/>
          <w:sz w:val="24"/>
          <w:szCs w:val="24"/>
        </w:rPr>
        <w:t>RC does is proven to be the best way to generate radical breakthroughs.</w:t>
      </w:r>
    </w:p>
    <w:p w:rsidR="00E535A0" w:rsidRDefault="00C953F5">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 ERC funds frontier research. Classical distinctions between basic and applied research have lost much of their relevance at a time when many emerging areas of science and technolog</w:t>
      </w:r>
      <w:r>
        <w:rPr>
          <w:rFonts w:ascii="Times New Roman" w:hAnsi="Times New Roman" w:cs="Times New Roman"/>
          <w:bCs/>
          <w:noProof/>
          <w:sz w:val="24"/>
          <w:szCs w:val="24"/>
        </w:rPr>
        <w:t xml:space="preserve">y (e.g. biotechnology, ICT, materials and nanotechnology, and </w:t>
      </w:r>
      <w:r>
        <w:rPr>
          <w:rFonts w:ascii="Times New Roman" w:hAnsi="Times New Roman" w:cs="Times New Roman"/>
          <w:bCs/>
          <w:noProof/>
          <w:sz w:val="24"/>
          <w:szCs w:val="24"/>
        </w:rPr>
        <w:lastRenderedPageBreak/>
        <w:t>cognitive sciences) often embrace substantial elements of both, and for sure originate from fundamental scientific ideas. Frontier research therefore often generates unexpected or new opportunit</w:t>
      </w:r>
      <w:r>
        <w:rPr>
          <w:rFonts w:ascii="Times New Roman" w:hAnsi="Times New Roman" w:cs="Times New Roman"/>
          <w:bCs/>
          <w:noProof/>
          <w:sz w:val="24"/>
          <w:szCs w:val="24"/>
        </w:rPr>
        <w:t>ies for commercial or societal application from the immediate term to the very long term.</w:t>
      </w:r>
    </w:p>
    <w:p w:rsidR="00E535A0" w:rsidRDefault="00C953F5">
      <w:pPr>
        <w:spacing w:line="240" w:lineRule="auto"/>
        <w:jc w:val="both"/>
        <w:rPr>
          <w:rFonts w:ascii="Times New Roman" w:eastAsia="Times New Roman" w:hAnsi="Times New Roman" w:cs="Times New Roman"/>
          <w:bCs/>
          <w:noProof/>
          <w:sz w:val="24"/>
          <w:szCs w:val="24"/>
          <w:lang w:eastAsia="ar-SA"/>
        </w:rPr>
      </w:pPr>
      <w:r>
        <w:rPr>
          <w:rFonts w:ascii="Times New Roman" w:hAnsi="Times New Roman" w:cs="Times New Roman"/>
          <w:noProof/>
          <w:sz w:val="24"/>
          <w:szCs w:val="24"/>
        </w:rPr>
        <w:t xml:space="preserve">The Ideas SP also has </w:t>
      </w:r>
      <w:r>
        <w:rPr>
          <w:rFonts w:ascii="Times New Roman" w:hAnsi="Times New Roman" w:cs="Times New Roman"/>
          <w:b/>
          <w:noProof/>
          <w:sz w:val="24"/>
          <w:szCs w:val="24"/>
        </w:rPr>
        <w:t>important structuring effects on European innovation</w:t>
      </w:r>
      <w:r>
        <w:rPr>
          <w:rFonts w:ascii="Times New Roman" w:hAnsi="Times New Roman" w:cs="Times New Roman"/>
          <w:noProof/>
          <w:sz w:val="24"/>
          <w:szCs w:val="24"/>
        </w:rPr>
        <w:t>. The visibility of basic research funded at European level makes it easier for actors in th</w:t>
      </w:r>
      <w:r>
        <w:rPr>
          <w:rFonts w:ascii="Times New Roman" w:hAnsi="Times New Roman" w:cs="Times New Roman"/>
          <w:noProof/>
          <w:sz w:val="24"/>
          <w:szCs w:val="24"/>
        </w:rPr>
        <w:t>e European innovation system to pick up on the knowledge resulting from that research and thus reduce information-related market failures and improve the European knowledge market. At the same time, the higher quality and increased visibility of European b</w:t>
      </w:r>
      <w:r>
        <w:rPr>
          <w:rFonts w:ascii="Times New Roman" w:hAnsi="Times New Roman" w:cs="Times New Roman"/>
          <w:noProof/>
          <w:sz w:val="24"/>
          <w:szCs w:val="24"/>
        </w:rPr>
        <w:t>asic research makes Europe a more attractive place to companies to carry out research in and to individual researchers to engage in scientific careers.</w:t>
      </w: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bCs/>
          <w:noProof/>
          <w:sz w:val="24"/>
          <w:szCs w:val="24"/>
          <w:lang w:val="en-US" w:eastAsia="ar-SA"/>
        </w:rPr>
        <w:t>Data from completed ERC projects shows that around one-fifth of ERC Principal Investigators working in t</w:t>
      </w:r>
      <w:r>
        <w:rPr>
          <w:rFonts w:ascii="Times New Roman" w:eastAsia="Times New Roman" w:hAnsi="Times New Roman" w:cs="Times New Roman"/>
          <w:bCs/>
          <w:noProof/>
          <w:sz w:val="24"/>
          <w:szCs w:val="24"/>
          <w:lang w:val="en-US" w:eastAsia="ar-SA"/>
        </w:rPr>
        <w:t xml:space="preserve">he Physical Sciences and Engineering and Life Sciences domains have reported at least one </w:t>
      </w:r>
      <w:r>
        <w:rPr>
          <w:rFonts w:ascii="Times New Roman" w:eastAsia="Times New Roman" w:hAnsi="Times New Roman" w:cs="Times New Roman"/>
          <w:b/>
          <w:bCs/>
          <w:noProof/>
          <w:sz w:val="24"/>
          <w:szCs w:val="24"/>
          <w:lang w:val="en-US" w:eastAsia="ar-SA"/>
        </w:rPr>
        <w:t>patent</w:t>
      </w:r>
      <w:r>
        <w:rPr>
          <w:rFonts w:ascii="Times New Roman" w:eastAsia="Times New Roman" w:hAnsi="Times New Roman" w:cs="Times New Roman"/>
          <w:bCs/>
          <w:noProof/>
          <w:sz w:val="24"/>
          <w:szCs w:val="24"/>
          <w:lang w:val="en-US" w:eastAsia="ar-SA"/>
        </w:rPr>
        <w:t xml:space="preserve"> arising from their project as below. And those projects that do patent report on average more than one patent (see Table below).</w:t>
      </w:r>
    </w:p>
    <w:p w:rsidR="00E535A0" w:rsidRDefault="00E535A0">
      <w:pPr>
        <w:spacing w:after="0" w:line="240" w:lineRule="auto"/>
        <w:jc w:val="both"/>
        <w:rPr>
          <w:rFonts w:ascii="Times New Roman" w:eastAsia="Times New Roman" w:hAnsi="Times New Roman" w:cs="Times New Roman"/>
          <w:b/>
          <w:bCs/>
          <w:i/>
          <w:noProof/>
          <w:sz w:val="24"/>
          <w:szCs w:val="24"/>
          <w:lang w:eastAsia="ar-SA"/>
        </w:rPr>
      </w:pPr>
    </w:p>
    <w:tbl>
      <w:tblPr>
        <w:tblW w:w="9020" w:type="dxa"/>
        <w:tblInd w:w="93" w:type="dxa"/>
        <w:tblCellMar>
          <w:left w:w="0" w:type="dxa"/>
          <w:right w:w="0" w:type="dxa"/>
        </w:tblCellMar>
        <w:tblLook w:val="04A0" w:firstRow="1" w:lastRow="0" w:firstColumn="1" w:lastColumn="0" w:noHBand="0" w:noVBand="1"/>
      </w:tblPr>
      <w:tblGrid>
        <w:gridCol w:w="1760"/>
        <w:gridCol w:w="1230"/>
        <w:gridCol w:w="1476"/>
        <w:gridCol w:w="1015"/>
        <w:gridCol w:w="1261"/>
        <w:gridCol w:w="1476"/>
        <w:gridCol w:w="802"/>
      </w:tblGrid>
      <w:tr w:rsidR="00E535A0">
        <w:trPr>
          <w:trHeight w:val="300"/>
        </w:trPr>
        <w:tc>
          <w:tcPr>
            <w:tcW w:w="17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w:t>
            </w:r>
          </w:p>
        </w:tc>
        <w:tc>
          <w:tcPr>
            <w:tcW w:w="3721"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LS</w:t>
            </w:r>
          </w:p>
        </w:tc>
        <w:tc>
          <w:tcPr>
            <w:tcW w:w="3539"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PE</w:t>
            </w:r>
          </w:p>
        </w:tc>
      </w:tr>
      <w:tr w:rsidR="00E535A0">
        <w:trPr>
          <w:cantSplit/>
          <w:trHeight w:val="1134"/>
        </w:trPr>
        <w:tc>
          <w:tcPr>
            <w:tcW w:w="17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noProof/>
                <w:sz w:val="24"/>
                <w:szCs w:val="24"/>
                <w:lang w:eastAsia="ar-SA"/>
              </w:rPr>
            </w:pPr>
          </w:p>
        </w:tc>
        <w:tc>
          <w:tcPr>
            <w:tcW w:w="1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Projects completed</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Projects with at least one patent</w:t>
            </w:r>
          </w:p>
        </w:tc>
        <w:tc>
          <w:tcPr>
            <w:tcW w:w="1015" w:type="dxa"/>
            <w:tcBorders>
              <w:top w:val="single" w:sz="4" w:space="0" w:color="auto"/>
              <w:left w:val="single" w:sz="4" w:space="0" w:color="auto"/>
              <w:bottom w:val="single" w:sz="4" w:space="0" w:color="auto"/>
              <w:right w:val="single" w:sz="4" w:space="0" w:color="auto"/>
            </w:tcBorders>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Total patents</w:t>
            </w: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Projects completed</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Projects with at least one patent</w:t>
            </w:r>
          </w:p>
        </w:tc>
        <w:tc>
          <w:tcPr>
            <w:tcW w:w="802" w:type="dxa"/>
            <w:tcBorders>
              <w:top w:val="single" w:sz="4" w:space="0" w:color="auto"/>
              <w:left w:val="single" w:sz="4" w:space="0" w:color="auto"/>
              <w:bottom w:val="single" w:sz="4" w:space="0" w:color="auto"/>
              <w:right w:val="single" w:sz="4" w:space="0" w:color="auto"/>
            </w:tcBorders>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Total patents</w:t>
            </w:r>
          </w:p>
        </w:tc>
      </w:tr>
      <w:tr w:rsidR="00E535A0">
        <w:trPr>
          <w:trHeight w:val="300"/>
        </w:trPr>
        <w:tc>
          <w:tcPr>
            <w:tcW w:w="17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StG2007</w:t>
            </w:r>
          </w:p>
        </w:tc>
        <w:tc>
          <w:tcPr>
            <w:tcW w:w="1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68</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12</w:t>
            </w:r>
          </w:p>
        </w:tc>
        <w:tc>
          <w:tcPr>
            <w:tcW w:w="1015" w:type="dxa"/>
            <w:tcBorders>
              <w:top w:val="single" w:sz="4" w:space="0" w:color="auto"/>
              <w:left w:val="single" w:sz="4" w:space="0" w:color="auto"/>
              <w:bottom w:val="single" w:sz="4" w:space="0" w:color="auto"/>
              <w:right w:val="single" w:sz="4" w:space="0" w:color="auto"/>
            </w:tcBorders>
          </w:tcPr>
          <w:p w:rsidR="00E535A0" w:rsidRDefault="00E535A0">
            <w:pPr>
              <w:spacing w:after="0" w:line="240" w:lineRule="auto"/>
              <w:jc w:val="both"/>
              <w:rPr>
                <w:rFonts w:ascii="Times New Roman" w:eastAsia="Times New Roman" w:hAnsi="Times New Roman" w:cs="Times New Roman"/>
                <w:noProof/>
                <w:sz w:val="24"/>
                <w:szCs w:val="24"/>
                <w:lang w:eastAsia="ar-SA"/>
              </w:rPr>
            </w:pP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88</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21</w:t>
            </w:r>
          </w:p>
        </w:tc>
        <w:tc>
          <w:tcPr>
            <w:tcW w:w="802" w:type="dxa"/>
            <w:tcBorders>
              <w:top w:val="single" w:sz="4" w:space="0" w:color="auto"/>
              <w:left w:val="single" w:sz="4" w:space="0" w:color="auto"/>
              <w:bottom w:val="single" w:sz="4" w:space="0" w:color="auto"/>
              <w:right w:val="single" w:sz="4" w:space="0" w:color="auto"/>
            </w:tcBorders>
          </w:tcPr>
          <w:p w:rsidR="00E535A0" w:rsidRDefault="00E535A0">
            <w:pPr>
              <w:spacing w:after="0" w:line="240" w:lineRule="auto"/>
              <w:jc w:val="both"/>
              <w:rPr>
                <w:rFonts w:ascii="Times New Roman" w:eastAsia="Times New Roman" w:hAnsi="Times New Roman" w:cs="Times New Roman"/>
                <w:noProof/>
                <w:sz w:val="24"/>
                <w:szCs w:val="24"/>
                <w:lang w:eastAsia="ar-SA"/>
              </w:rPr>
            </w:pPr>
          </w:p>
        </w:tc>
      </w:tr>
      <w:tr w:rsidR="00E535A0">
        <w:trPr>
          <w:trHeight w:val="300"/>
        </w:trPr>
        <w:tc>
          <w:tcPr>
            <w:tcW w:w="17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AdG2008</w:t>
            </w:r>
          </w:p>
        </w:tc>
        <w:tc>
          <w:tcPr>
            <w:tcW w:w="1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39</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7</w:t>
            </w:r>
          </w:p>
        </w:tc>
        <w:tc>
          <w:tcPr>
            <w:tcW w:w="1015" w:type="dxa"/>
            <w:tcBorders>
              <w:top w:val="single" w:sz="4" w:space="0" w:color="auto"/>
              <w:left w:val="single" w:sz="4" w:space="0" w:color="auto"/>
              <w:bottom w:val="single" w:sz="4" w:space="0" w:color="auto"/>
              <w:right w:val="single" w:sz="4" w:space="0" w:color="auto"/>
            </w:tcBorders>
          </w:tcPr>
          <w:p w:rsidR="00E535A0" w:rsidRDefault="00E535A0">
            <w:pPr>
              <w:spacing w:after="0" w:line="240" w:lineRule="auto"/>
              <w:jc w:val="both"/>
              <w:rPr>
                <w:rFonts w:ascii="Times New Roman" w:eastAsia="Times New Roman" w:hAnsi="Times New Roman" w:cs="Times New Roman"/>
                <w:noProof/>
                <w:sz w:val="24"/>
                <w:szCs w:val="24"/>
                <w:lang w:eastAsia="ar-SA"/>
              </w:rPr>
            </w:pP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68</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13</w:t>
            </w:r>
          </w:p>
        </w:tc>
        <w:tc>
          <w:tcPr>
            <w:tcW w:w="802" w:type="dxa"/>
            <w:tcBorders>
              <w:top w:val="single" w:sz="4" w:space="0" w:color="auto"/>
              <w:left w:val="single" w:sz="4" w:space="0" w:color="auto"/>
              <w:bottom w:val="single" w:sz="4" w:space="0" w:color="auto"/>
              <w:right w:val="single" w:sz="4" w:space="0" w:color="auto"/>
            </w:tcBorders>
          </w:tcPr>
          <w:p w:rsidR="00E535A0" w:rsidRDefault="00E535A0">
            <w:pPr>
              <w:spacing w:after="0" w:line="240" w:lineRule="auto"/>
              <w:jc w:val="both"/>
              <w:rPr>
                <w:rFonts w:ascii="Times New Roman" w:eastAsia="Times New Roman" w:hAnsi="Times New Roman" w:cs="Times New Roman"/>
                <w:noProof/>
                <w:sz w:val="24"/>
                <w:szCs w:val="24"/>
                <w:lang w:eastAsia="ar-SA"/>
              </w:rPr>
            </w:pPr>
          </w:p>
        </w:tc>
      </w:tr>
      <w:tr w:rsidR="00E535A0">
        <w:trPr>
          <w:trHeight w:val="300"/>
        </w:trPr>
        <w:tc>
          <w:tcPr>
            <w:tcW w:w="17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Total</w:t>
            </w:r>
          </w:p>
        </w:tc>
        <w:tc>
          <w:tcPr>
            <w:tcW w:w="12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107</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19</w:t>
            </w:r>
          </w:p>
        </w:tc>
        <w:tc>
          <w:tcPr>
            <w:tcW w:w="1015" w:type="dxa"/>
            <w:tcBorders>
              <w:top w:val="single" w:sz="4" w:space="0" w:color="auto"/>
              <w:left w:val="single" w:sz="4" w:space="0" w:color="auto"/>
              <w:bottom w:val="single" w:sz="4" w:space="0" w:color="auto"/>
              <w:right w:val="single" w:sz="4" w:space="0" w:color="auto"/>
            </w:tcBorders>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30</w:t>
            </w: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156</w:t>
            </w:r>
          </w:p>
        </w:tc>
        <w:tc>
          <w:tcPr>
            <w:tcW w:w="14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34</w:t>
            </w:r>
          </w:p>
        </w:tc>
        <w:tc>
          <w:tcPr>
            <w:tcW w:w="802" w:type="dxa"/>
            <w:tcBorders>
              <w:top w:val="single" w:sz="4" w:space="0" w:color="auto"/>
              <w:left w:val="single" w:sz="4" w:space="0" w:color="auto"/>
              <w:bottom w:val="single" w:sz="4" w:space="0" w:color="auto"/>
              <w:right w:val="single" w:sz="4" w:space="0" w:color="auto"/>
            </w:tcBorders>
          </w:tcPr>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68</w:t>
            </w:r>
          </w:p>
        </w:tc>
      </w:tr>
    </w:tbl>
    <w:p w:rsidR="00E535A0" w:rsidRDefault="00C953F5">
      <w:pPr>
        <w:spacing w:after="0" w:line="240" w:lineRule="auto"/>
        <w:jc w:val="center"/>
        <w:rPr>
          <w:rFonts w:ascii="Times New Roman" w:eastAsia="Times New Roman" w:hAnsi="Times New Roman" w:cs="Times New Roman"/>
          <w:b/>
          <w:bCs/>
          <w:noProof/>
          <w:szCs w:val="24"/>
          <w:lang w:eastAsia="ar-SA"/>
        </w:rPr>
      </w:pPr>
      <w:r>
        <w:rPr>
          <w:rFonts w:ascii="Times New Roman" w:eastAsia="Times New Roman" w:hAnsi="Times New Roman" w:cs="Times New Roman"/>
          <w:b/>
          <w:bCs/>
          <w:noProof/>
          <w:szCs w:val="24"/>
          <w:lang w:eastAsia="ar-SA"/>
        </w:rPr>
        <w:t>Number of ERC projects reporting at least one patent</w:t>
      </w:r>
      <w:r>
        <w:rPr>
          <w:rFonts w:ascii="Times New Roman" w:eastAsia="Times New Roman" w:hAnsi="Times New Roman" w:cs="Times New Roman"/>
          <w:b/>
          <w:bCs/>
          <w:noProof/>
          <w:szCs w:val="24"/>
          <w:vertAlign w:val="superscript"/>
          <w:lang w:eastAsia="ar-SA"/>
        </w:rPr>
        <w:footnoteReference w:id="1"/>
      </w:r>
    </w:p>
    <w:p w:rsidR="00E535A0" w:rsidRDefault="00C953F5">
      <w:pPr>
        <w:spacing w:line="240" w:lineRule="auto"/>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br w:type="page"/>
      </w: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noProof/>
          <w:sz w:val="24"/>
          <w:szCs w:val="24"/>
          <w:lang w:eastAsia="ar-SA"/>
        </w:rPr>
        <w:lastRenderedPageBreak/>
        <w:t xml:space="preserve">The ERC Scientific Council explicitly recognised the frontier nature of ERC funded research in 2011 be creating the </w:t>
      </w:r>
      <w:r>
        <w:rPr>
          <w:rFonts w:ascii="Times New Roman" w:eastAsia="Times New Roman" w:hAnsi="Times New Roman" w:cs="Times New Roman"/>
          <w:b/>
          <w:noProof/>
          <w:sz w:val="24"/>
          <w:szCs w:val="24"/>
          <w:lang w:eastAsia="ar-SA"/>
        </w:rPr>
        <w:t>Proof of Concept Grant</w:t>
      </w:r>
      <w:r>
        <w:rPr>
          <w:rFonts w:ascii="Times New Roman" w:eastAsia="Times New Roman" w:hAnsi="Times New Roman" w:cs="Times New Roman"/>
          <w:noProof/>
          <w:sz w:val="24"/>
          <w:szCs w:val="24"/>
          <w:lang w:eastAsia="ar-SA"/>
        </w:rPr>
        <w:t xml:space="preserve"> (PoC). </w:t>
      </w:r>
      <w:r>
        <w:rPr>
          <w:rFonts w:ascii="Times New Roman" w:hAnsi="Times New Roman" w:cs="Times New Roman"/>
          <w:noProof/>
          <w:sz w:val="24"/>
          <w:szCs w:val="24"/>
        </w:rPr>
        <w:t>More than 170 "proof of concept" grants awarded since 2010 to explore the commercial and social innovation pot</w:t>
      </w:r>
      <w:r>
        <w:rPr>
          <w:rFonts w:ascii="Times New Roman" w:hAnsi="Times New Roman" w:cs="Times New Roman"/>
          <w:noProof/>
          <w:sz w:val="24"/>
          <w:szCs w:val="24"/>
        </w:rPr>
        <w:t>ential of ideas arising from ERC grants.</w:t>
      </w:r>
      <w:r>
        <w:rPr>
          <w:rFonts w:ascii="Times New Roman" w:hAnsi="Times New Roman" w:cs="Times New Roman"/>
          <w:bCs/>
          <w:noProof/>
          <w:sz w:val="24"/>
          <w:szCs w:val="24"/>
        </w:rPr>
        <w:t xml:space="preserve"> </w:t>
      </w:r>
      <w:r>
        <w:rPr>
          <w:rFonts w:ascii="Times New Roman" w:eastAsia="Times New Roman" w:hAnsi="Times New Roman" w:cs="Times New Roman"/>
          <w:bCs/>
          <w:noProof/>
          <w:sz w:val="24"/>
          <w:szCs w:val="24"/>
          <w:lang w:eastAsia="ar-SA"/>
        </w:rPr>
        <w:t>Results from the PoC projects include verification of the innovation and market potential of the idea taken to proof of concept, raising interest from industry or other potential investors, creation of commercial ve</w:t>
      </w:r>
      <w:r>
        <w:rPr>
          <w:rFonts w:ascii="Times New Roman" w:eastAsia="Times New Roman" w:hAnsi="Times New Roman" w:cs="Times New Roman"/>
          <w:bCs/>
          <w:noProof/>
          <w:sz w:val="24"/>
          <w:szCs w:val="24"/>
          <w:lang w:eastAsia="ar-SA"/>
        </w:rPr>
        <w:t xml:space="preserve">ntures and the filing of international patents. </w:t>
      </w: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Analysis of the first 50 completed PoC projects shows that around 50% reported at least one patent application. In addition, 18% of them spun-out a new venture and 30% of them intend to use an existing or ne</w:t>
      </w:r>
      <w:r>
        <w:rPr>
          <w:rFonts w:ascii="Times New Roman" w:eastAsia="Times New Roman" w:hAnsi="Times New Roman" w:cs="Times New Roman"/>
          <w:bCs/>
          <w:noProof/>
          <w:sz w:val="24"/>
          <w:szCs w:val="24"/>
          <w:lang w:eastAsia="ar-SA"/>
        </w:rPr>
        <w:t>w spin-out to take forward their idea. A further 16% of them plan to license technology to an existing company and 8% to form an industrial partnership. Table below shows the status of the projects at the time of the final report. 24% required further rese</w:t>
      </w:r>
      <w:r>
        <w:rPr>
          <w:rFonts w:ascii="Times New Roman" w:eastAsia="Times New Roman" w:hAnsi="Times New Roman" w:cs="Times New Roman"/>
          <w:bCs/>
          <w:noProof/>
          <w:sz w:val="24"/>
          <w:szCs w:val="24"/>
          <w:lang w:eastAsia="ar-SA"/>
        </w:rPr>
        <w:t>arch, 14% had initiated discussions with industry, 12% were seeking investors, 8% were already negotiating with potential investors and 6% had already raised funding.</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val="de-DE" w:eastAsia="de-DE"/>
        </w:rPr>
        <w:drawing>
          <wp:inline distT="0" distB="0" distL="0" distR="0">
            <wp:extent cx="5760720" cy="34169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416935"/>
                    </a:xfrm>
                    <a:prstGeom prst="rect">
                      <a:avLst/>
                    </a:prstGeom>
                  </pic:spPr>
                </pic:pic>
              </a:graphicData>
            </a:graphic>
          </wp:inline>
        </w:drawing>
      </w:r>
    </w:p>
    <w:p w:rsidR="00E535A0" w:rsidRDefault="00C953F5">
      <w:pPr>
        <w:spacing w:after="0" w:line="240" w:lineRule="auto"/>
        <w:jc w:val="center"/>
        <w:rPr>
          <w:rFonts w:ascii="Times New Roman" w:eastAsia="Times New Roman" w:hAnsi="Times New Roman" w:cs="Times New Roman"/>
          <w:bCs/>
          <w:noProof/>
          <w:szCs w:val="24"/>
          <w:lang w:eastAsia="ar-SA"/>
        </w:rPr>
      </w:pPr>
      <w:r>
        <w:rPr>
          <w:rFonts w:ascii="Times New Roman" w:eastAsia="Times New Roman" w:hAnsi="Times New Roman" w:cs="Times New Roman"/>
          <w:b/>
          <w:bCs/>
          <w:noProof/>
          <w:szCs w:val="24"/>
          <w:lang w:eastAsia="ar-SA"/>
        </w:rPr>
        <w:t>Status of the PoC projects at the time of the final report</w:t>
      </w:r>
    </w:p>
    <w:p w:rsidR="00E535A0" w:rsidRDefault="00E535A0">
      <w:pPr>
        <w:spacing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Ideas Specific </w:t>
      </w:r>
      <w:r>
        <w:rPr>
          <w:rFonts w:ascii="Times New Roman" w:hAnsi="Times New Roman" w:cs="Times New Roman"/>
          <w:noProof/>
          <w:sz w:val="24"/>
          <w:szCs w:val="24"/>
        </w:rPr>
        <w:t>Programme clearly achieved its objective of creating a pan-European competitive structure leading to higher levels of excellence in Europe's basic research. This will result in a better and enlarged knowledge base for European enterprises on which the inno</w:t>
      </w:r>
      <w:r>
        <w:rPr>
          <w:rFonts w:ascii="Times New Roman" w:hAnsi="Times New Roman" w:cs="Times New Roman"/>
          <w:noProof/>
          <w:sz w:val="24"/>
          <w:szCs w:val="24"/>
        </w:rPr>
        <w:t>vation of products and process can be based. This will have direct economic, societal and environmental benefits.</w:t>
      </w:r>
    </w:p>
    <w:p w:rsidR="00E535A0" w:rsidRDefault="00C953F5">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br w:type="page"/>
      </w: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How did Ideas SP contribute to increase European wide S&amp;T collaboration and networking for sharing R&amp;D risks and costs?</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ERC does not hav</w:t>
      </w:r>
      <w:r>
        <w:rPr>
          <w:rFonts w:ascii="Times New Roman" w:eastAsia="Calibri" w:hAnsi="Times New Roman" w:cs="Times New Roman"/>
          <w:noProof/>
          <w:sz w:val="24"/>
          <w:szCs w:val="24"/>
        </w:rPr>
        <w:t xml:space="preserve">e the explicit aim of fostering international or intra-European collaboration, but because science at the highest levels is characterised by high levels of international collaboration the ERC has in practice supported extensive international collaboration </w:t>
      </w:r>
      <w:r>
        <w:rPr>
          <w:rFonts w:ascii="Times New Roman" w:eastAsia="Calibri" w:hAnsi="Times New Roman" w:cs="Times New Roman"/>
          <w:noProof/>
          <w:sz w:val="24"/>
          <w:szCs w:val="24"/>
        </w:rPr>
        <w:t>both within and outside Europe.</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 xml:space="preserve">As part of a study </w:t>
      </w:r>
      <w:r>
        <w:rPr>
          <w:rFonts w:ascii="Times New Roman" w:eastAsia="Calibri" w:hAnsi="Times New Roman" w:cs="Times New Roman"/>
          <w:i/>
          <w:noProof/>
          <w:sz w:val="24"/>
          <w:szCs w:val="24"/>
        </w:rPr>
        <w:t>“Comparative scientometric assessment of the results of ERC funded projects</w:t>
      </w:r>
      <w:r>
        <w:rPr>
          <w:rFonts w:ascii="Times New Roman" w:eastAsia="Calibri" w:hAnsi="Times New Roman" w:cs="Times New Roman"/>
          <w:i/>
          <w:noProof/>
          <w:sz w:val="24"/>
          <w:szCs w:val="24"/>
          <w:vertAlign w:val="superscript"/>
        </w:rPr>
        <w:footnoteReference w:id="2"/>
      </w:r>
      <w:r>
        <w:rPr>
          <w:rFonts w:ascii="Times New Roman" w:eastAsia="Calibri" w:hAnsi="Times New Roman" w:cs="Times New Roman"/>
          <w:i/>
          <w:noProof/>
          <w:sz w:val="24"/>
          <w:szCs w:val="24"/>
        </w:rPr>
        <w:t>”</w:t>
      </w:r>
      <w:r>
        <w:rPr>
          <w:rFonts w:ascii="Times New Roman" w:eastAsia="Calibri" w:hAnsi="Times New Roman" w:cs="Times New Roman"/>
          <w:noProof/>
          <w:sz w:val="24"/>
          <w:szCs w:val="24"/>
        </w:rPr>
        <w:t xml:space="preserve"> the contractors examined the publications of 2,556 ERC grantees.</w:t>
      </w:r>
      <w:r>
        <w:rPr>
          <w:rFonts w:ascii="Times New Roman" w:eastAsia="Calibri" w:hAnsi="Times New Roman" w:cs="Times New Roman"/>
          <w:noProof/>
          <w:sz w:val="24"/>
          <w:szCs w:val="24"/>
          <w:lang w:val="en-US"/>
        </w:rPr>
        <w:t xml:space="preserve"> The table below presents four types of international collaboration broken down by domain: 1) collaborations involving at least two distinct countries, regardless of where they are located, 2) intra-European collaborations involving researchers from at lea</w:t>
      </w:r>
      <w:r>
        <w:rPr>
          <w:rFonts w:ascii="Times New Roman" w:eastAsia="Calibri" w:hAnsi="Times New Roman" w:cs="Times New Roman"/>
          <w:noProof/>
          <w:sz w:val="24"/>
          <w:szCs w:val="24"/>
          <w:lang w:val="en-US"/>
        </w:rPr>
        <w:t xml:space="preserve">st two different European countries, 3) extra-European collaborations involving at least one European and one non-European country, and 4) collaborations involving at least two distinct countries, one of which is the United States. </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val="en-US"/>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data shows that ov</w:t>
      </w:r>
      <w:r>
        <w:rPr>
          <w:rFonts w:ascii="Times New Roman" w:eastAsia="Calibri" w:hAnsi="Times New Roman" w:cs="Times New Roman"/>
          <w:noProof/>
          <w:sz w:val="24"/>
          <w:szCs w:val="24"/>
          <w:lang w:val="en-US"/>
        </w:rPr>
        <w:t>erall 56% of the publications of the ERC funded researchers involved international collaboration.</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bookmarkStart w:id="5" w:name="_Ref423530700"/>
      <w:bookmarkStart w:id="6" w:name="_Ref423530720"/>
      <w:bookmarkStart w:id="7" w:name="_Toc424142170"/>
    </w:p>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Table</w:t>
      </w:r>
      <w:bookmarkEnd w:id="5"/>
      <w:r>
        <w:rPr>
          <w:rFonts w:ascii="Times New Roman" w:eastAsia="Calibri" w:hAnsi="Times New Roman" w:cs="Times New Roman"/>
          <w:b/>
          <w:noProof/>
          <w:sz w:val="24"/>
          <w:szCs w:val="24"/>
        </w:rPr>
        <w:t xml:space="preserve"> X</w:t>
      </w:r>
      <w:r>
        <w:rPr>
          <w:rFonts w:ascii="Times New Roman" w:eastAsia="Calibri" w:hAnsi="Times New Roman" w:cs="Times New Roman"/>
          <w:b/>
          <w:noProof/>
          <w:sz w:val="24"/>
          <w:szCs w:val="24"/>
        </w:rPr>
        <w:tab/>
        <w:t>International Collaboration of ERC Funded Researchers After the Grant Start Year by Domain and Type of Collaboration</w:t>
      </w:r>
      <w:bookmarkEnd w:id="6"/>
      <w:bookmarkEnd w:id="7"/>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noProof/>
          <w:sz w:val="24"/>
          <w:szCs w:val="24"/>
          <w:lang w:val="de-DE" w:eastAsia="de-DE"/>
        </w:rPr>
        <w:drawing>
          <wp:inline distT="0" distB="0" distL="0" distR="0">
            <wp:extent cx="5760720" cy="1310434"/>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310434"/>
                    </a:xfrm>
                    <a:prstGeom prst="rect">
                      <a:avLst/>
                    </a:prstGeom>
                    <a:noFill/>
                    <a:ln>
                      <a:noFill/>
                    </a:ln>
                  </pic:spPr>
                </pic:pic>
              </a:graphicData>
            </a:graphic>
          </wp:inline>
        </w:drawing>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p w:rsidR="00E535A0" w:rsidRDefault="00E535A0">
      <w:pPr>
        <w:autoSpaceDE w:val="0"/>
        <w:autoSpaceDN w:val="0"/>
        <w:adjustRightInd w:val="0"/>
        <w:spacing w:after="0" w:line="240" w:lineRule="auto"/>
        <w:jc w:val="both"/>
        <w:rPr>
          <w:rFonts w:ascii="Times New Roman" w:eastAsia="Calibri" w:hAnsi="Times New Roman" w:cs="Times New Roman"/>
          <w:b/>
          <w:bCs/>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ERC does not have the e</w:t>
      </w:r>
      <w:r>
        <w:rPr>
          <w:rFonts w:ascii="Times New Roman" w:eastAsia="Calibri" w:hAnsi="Times New Roman" w:cs="Times New Roman"/>
          <w:noProof/>
          <w:sz w:val="24"/>
          <w:szCs w:val="24"/>
        </w:rPr>
        <w:t xml:space="preserve">xplicit aim of fostering international or intra-European mobility but one important feature of the ERC’s grants is that they allow for </w:t>
      </w:r>
      <w:r>
        <w:rPr>
          <w:rFonts w:ascii="Times New Roman" w:eastAsia="Calibri" w:hAnsi="Times New Roman" w:cs="Times New Roman"/>
          <w:b/>
          <w:noProof/>
          <w:sz w:val="24"/>
          <w:szCs w:val="24"/>
        </w:rPr>
        <w:t>portability between host institutions</w:t>
      </w:r>
      <w:r>
        <w:rPr>
          <w:rFonts w:ascii="Times New Roman" w:eastAsia="Calibri" w:hAnsi="Times New Roman" w:cs="Times New Roman"/>
          <w:noProof/>
          <w:sz w:val="24"/>
          <w:szCs w:val="24"/>
        </w:rPr>
        <w:t xml:space="preserve">. This allows researchers to find the best institutional environment for conducting </w:t>
      </w:r>
      <w:r>
        <w:rPr>
          <w:rFonts w:ascii="Times New Roman" w:eastAsia="Calibri" w:hAnsi="Times New Roman" w:cs="Times New Roman"/>
          <w:noProof/>
          <w:sz w:val="24"/>
          <w:szCs w:val="24"/>
        </w:rPr>
        <w:t>their research and the movement of researchers also means that their knowledge and skills also circulate.</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spacing w:line="240" w:lineRule="auto"/>
        <w:rPr>
          <w:rFonts w:ascii="Times New Roman" w:eastAsia="Calibri" w:hAnsi="Times New Roman" w:cs="Times New Roman"/>
          <w:b/>
          <w:bCs/>
          <w:i/>
          <w:noProof/>
          <w:sz w:val="24"/>
          <w:szCs w:val="24"/>
        </w:rPr>
      </w:pPr>
      <w:r>
        <w:rPr>
          <w:rFonts w:ascii="Times New Roman" w:eastAsia="Calibri" w:hAnsi="Times New Roman" w:cs="Times New Roman"/>
          <w:b/>
          <w:bCs/>
          <w:i/>
          <w:noProof/>
          <w:sz w:val="24"/>
          <w:szCs w:val="24"/>
        </w:rPr>
        <w:br w:type="page"/>
      </w:r>
    </w:p>
    <w:p w:rsidR="00E535A0" w:rsidRDefault="00C953F5">
      <w:pPr>
        <w:autoSpaceDE w:val="0"/>
        <w:autoSpaceDN w:val="0"/>
        <w:adjustRightInd w:val="0"/>
        <w:spacing w:after="0" w:line="240" w:lineRule="auto"/>
        <w:jc w:val="both"/>
        <w:rPr>
          <w:rFonts w:ascii="Times New Roman" w:eastAsia="Calibri" w:hAnsi="Times New Roman" w:cs="Times New Roman"/>
          <w:b/>
          <w:bCs/>
          <w:i/>
          <w:noProof/>
          <w:sz w:val="24"/>
          <w:szCs w:val="24"/>
        </w:rPr>
      </w:pPr>
      <w:r>
        <w:rPr>
          <w:rFonts w:ascii="Times New Roman" w:eastAsia="Calibri" w:hAnsi="Times New Roman" w:cs="Times New Roman"/>
          <w:b/>
          <w:bCs/>
          <w:i/>
          <w:noProof/>
          <w:sz w:val="24"/>
          <w:szCs w:val="24"/>
        </w:rPr>
        <w:t>Table 10: ERC grantees changing host institution</w:t>
      </w:r>
    </w:p>
    <w:p w:rsidR="00E535A0" w:rsidRDefault="00E535A0">
      <w:pPr>
        <w:autoSpaceDE w:val="0"/>
        <w:autoSpaceDN w:val="0"/>
        <w:adjustRightInd w:val="0"/>
        <w:spacing w:after="0" w:line="240" w:lineRule="auto"/>
        <w:jc w:val="both"/>
        <w:rPr>
          <w:rFonts w:ascii="Times New Roman" w:eastAsia="Calibri" w:hAnsi="Times New Roman" w:cs="Times New Roman"/>
          <w:b/>
          <w:bCs/>
          <w:i/>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07"/>
        <w:gridCol w:w="2907"/>
      </w:tblGrid>
      <w:tr w:rsidR="00E535A0">
        <w:tc>
          <w:tcPr>
            <w:tcW w:w="3095" w:type="dxa"/>
            <w:shd w:val="clear" w:color="auto" w:fill="auto"/>
          </w:tcPr>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change HI during granting</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change HI after granting</w:t>
            </w:r>
          </w:p>
        </w:tc>
      </w:tr>
      <w:tr w:rsidR="00E535A0">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All grantees</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6%</w:t>
            </w: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5.6%</w:t>
            </w:r>
          </w:p>
        </w:tc>
      </w:tr>
      <w:tr w:rsidR="00E535A0">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StG</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7.8%</w:t>
            </w: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8.4%</w:t>
            </w:r>
          </w:p>
        </w:tc>
      </w:tr>
      <w:tr w:rsidR="00E535A0">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CoG</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5.4%</w:t>
            </w: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0% </w:t>
            </w:r>
            <w:r>
              <w:rPr>
                <w:rFonts w:ascii="Times New Roman" w:eastAsia="Calibri" w:hAnsi="Times New Roman" w:cs="Times New Roman"/>
                <w:b/>
                <w:noProof/>
                <w:sz w:val="24"/>
                <w:szCs w:val="24"/>
                <w:vertAlign w:val="superscript"/>
              </w:rPr>
              <w:footnoteReference w:id="3"/>
            </w:r>
            <w:r>
              <w:rPr>
                <w:rFonts w:ascii="Times New Roman" w:eastAsia="Calibri" w:hAnsi="Times New Roman" w:cs="Times New Roman"/>
                <w:b/>
                <w:noProof/>
                <w:sz w:val="24"/>
                <w:szCs w:val="24"/>
              </w:rPr>
              <w:t xml:space="preserve"> </w:t>
            </w:r>
          </w:p>
        </w:tc>
      </w:tr>
      <w:tr w:rsidR="00E535A0">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AdG</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3.6%</w:t>
            </w:r>
          </w:p>
        </w:tc>
        <w:tc>
          <w:tcPr>
            <w:tcW w:w="3095" w:type="dxa"/>
            <w:shd w:val="clear" w:color="auto" w:fill="auto"/>
          </w:tcPr>
          <w:p w:rsidR="00E535A0" w:rsidRDefault="00C953F5">
            <w:pPr>
              <w:autoSpaceDE w:val="0"/>
              <w:autoSpaceDN w:val="0"/>
              <w:adjustRightInd w:val="0"/>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3%</w:t>
            </w:r>
          </w:p>
        </w:tc>
      </w:tr>
    </w:tbl>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How did Ideas SP contribute to improve the coordination of European, national and regional research policies?</w:t>
      </w: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ERC has tried to record relevant changes in the national systems. Of the changes observed, few can be directly </w:t>
      </w:r>
      <w:r>
        <w:rPr>
          <w:rFonts w:ascii="Times New Roman" w:eastAsia="Times New Roman" w:hAnsi="Times New Roman" w:cs="Times New Roman"/>
          <w:noProof/>
          <w:sz w:val="24"/>
          <w:szCs w:val="24"/>
          <w:lang w:eastAsia="ar-SA"/>
        </w:rPr>
        <w:t>attributable to the effect of the ERC but certain trends are notable. Before the creation of the ERC, 12 of the current EU countries</w:t>
      </w:r>
      <w:r>
        <w:rPr>
          <w:rFonts w:ascii="Times New Roman" w:eastAsia="Times New Roman" w:hAnsi="Times New Roman" w:cs="Times New Roman"/>
          <w:noProof/>
          <w:sz w:val="24"/>
          <w:szCs w:val="24"/>
          <w:vertAlign w:val="superscript"/>
          <w:lang w:eastAsia="ar-SA"/>
        </w:rPr>
        <w:footnoteReference w:id="4"/>
      </w:r>
      <w:r>
        <w:rPr>
          <w:rFonts w:ascii="Times New Roman" w:eastAsia="Times New Roman" w:hAnsi="Times New Roman" w:cs="Times New Roman"/>
          <w:noProof/>
          <w:sz w:val="24"/>
          <w:szCs w:val="24"/>
          <w:lang w:eastAsia="ar-SA"/>
        </w:rPr>
        <w:t xml:space="preserve"> had national research or scientific councils involved as decision making bodies in the </w:t>
      </w:r>
      <w:r>
        <w:rPr>
          <w:rFonts w:ascii="Times New Roman" w:eastAsia="Times New Roman" w:hAnsi="Times New Roman" w:cs="Times New Roman"/>
          <w:b/>
          <w:noProof/>
          <w:sz w:val="24"/>
          <w:szCs w:val="24"/>
          <w:lang w:eastAsia="ar-SA"/>
        </w:rPr>
        <w:t xml:space="preserve">governance of competitive funding of basic research </w:t>
      </w:r>
      <w:r>
        <w:rPr>
          <w:rFonts w:ascii="Times New Roman" w:eastAsia="Times New Roman" w:hAnsi="Times New Roman" w:cs="Times New Roman"/>
          <w:noProof/>
          <w:sz w:val="24"/>
          <w:szCs w:val="24"/>
          <w:lang w:eastAsia="ar-SA"/>
        </w:rPr>
        <w:t>(including EE and HR with science foundations). In 2014 all but five EU countries had such bodies</w:t>
      </w:r>
      <w:r>
        <w:rPr>
          <w:rFonts w:ascii="Times New Roman" w:eastAsia="Times New Roman" w:hAnsi="Times New Roman" w:cs="Times New Roman"/>
          <w:noProof/>
          <w:sz w:val="24"/>
          <w:szCs w:val="24"/>
          <w:vertAlign w:val="superscript"/>
          <w:lang w:eastAsia="ar-SA"/>
        </w:rPr>
        <w:footnoteReference w:id="5"/>
      </w:r>
      <w:r>
        <w:rPr>
          <w:rFonts w:ascii="Times New Roman" w:eastAsia="Times New Roman" w:hAnsi="Times New Roman" w:cs="Times New Roman"/>
          <w:noProof/>
          <w:sz w:val="24"/>
          <w:szCs w:val="24"/>
          <w:lang w:eastAsia="ar-SA"/>
        </w:rPr>
        <w:t>. In 20 countries these councils have a decision making role at strategic level and sometimes even at oper</w:t>
      </w:r>
      <w:r>
        <w:rPr>
          <w:rFonts w:ascii="Times New Roman" w:eastAsia="Times New Roman" w:hAnsi="Times New Roman" w:cs="Times New Roman"/>
          <w:noProof/>
          <w:sz w:val="24"/>
          <w:szCs w:val="24"/>
          <w:lang w:eastAsia="ar-SA"/>
        </w:rPr>
        <w:t>ational level. In BG, PT and RO these bodies have an advisory role.</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Increasing competition between European countries and institutions to host ERC grantees is leading to </w:t>
      </w:r>
      <w:r>
        <w:rPr>
          <w:rFonts w:ascii="Times New Roman" w:hAnsi="Times New Roman" w:cs="Times New Roman"/>
          <w:b/>
          <w:bCs/>
          <w:noProof/>
          <w:sz w:val="24"/>
          <w:szCs w:val="24"/>
        </w:rPr>
        <w:t>major reforms in the way research funding is allocated</w:t>
      </w:r>
      <w:r>
        <w:rPr>
          <w:rFonts w:ascii="Times New Roman" w:hAnsi="Times New Roman" w:cs="Times New Roman"/>
          <w:bCs/>
          <w:noProof/>
          <w:sz w:val="24"/>
          <w:szCs w:val="24"/>
        </w:rPr>
        <w:t xml:space="preserve"> and to more attractive conditi</w:t>
      </w:r>
      <w:r>
        <w:rPr>
          <w:rFonts w:ascii="Times New Roman" w:hAnsi="Times New Roman" w:cs="Times New Roman"/>
          <w:bCs/>
          <w:noProof/>
          <w:sz w:val="24"/>
          <w:szCs w:val="24"/>
        </w:rPr>
        <w:t>ons for the best researchers. The number of EU Member States with scientific councils involved as decision making bodies in the governance of competitive funding of basic research has increased from 12 to 23</w:t>
      </w:r>
      <w:r>
        <w:rPr>
          <w:rFonts w:ascii="Times New Roman" w:hAnsi="Times New Roman" w:cs="Times New Roman"/>
          <w:bCs/>
          <w:noProof/>
          <w:sz w:val="24"/>
          <w:szCs w:val="24"/>
          <w:vertAlign w:val="superscript"/>
        </w:rPr>
        <w:footnoteReference w:id="6"/>
      </w:r>
      <w:r>
        <w:rPr>
          <w:rFonts w:ascii="Times New Roman" w:hAnsi="Times New Roman" w:cs="Times New Roman"/>
          <w:bCs/>
          <w:noProof/>
          <w:sz w:val="24"/>
          <w:szCs w:val="24"/>
        </w:rPr>
        <w:t xml:space="preserve"> during the lifetime of the ERC. Since 2007, 11 </w:t>
      </w:r>
      <w:r>
        <w:rPr>
          <w:rFonts w:ascii="Times New Roman" w:hAnsi="Times New Roman" w:cs="Times New Roman"/>
          <w:bCs/>
          <w:noProof/>
          <w:sz w:val="24"/>
          <w:szCs w:val="24"/>
        </w:rPr>
        <w:t>Member States have launched new funding schemes inspired by the ERC. The National Science Centre (NCN) in Poland, a government executive agency set up to fund basic research, was created in 2010 with the ERC as an explicit model.</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eastAsia="ar-SA"/>
        </w:rPr>
        <w:t>The creation of the ERC a</w:t>
      </w:r>
      <w:r>
        <w:rPr>
          <w:rFonts w:ascii="Times New Roman" w:eastAsia="Times New Roman" w:hAnsi="Times New Roman" w:cs="Times New Roman"/>
          <w:noProof/>
          <w:sz w:val="24"/>
          <w:szCs w:val="24"/>
          <w:lang w:eastAsia="ar-SA"/>
        </w:rPr>
        <w:t xml:space="preserve">lso enhanced or consolidated the </w:t>
      </w:r>
      <w:r>
        <w:rPr>
          <w:rFonts w:ascii="Times New Roman" w:eastAsia="Times New Roman" w:hAnsi="Times New Roman" w:cs="Times New Roman"/>
          <w:b/>
          <w:noProof/>
          <w:sz w:val="24"/>
          <w:szCs w:val="24"/>
          <w:lang w:eastAsia="ar-SA"/>
        </w:rPr>
        <w:t>priority given to basic/frontier research in some national strategies</w:t>
      </w:r>
      <w:r>
        <w:rPr>
          <w:rFonts w:ascii="Times New Roman" w:eastAsia="Times New Roman" w:hAnsi="Times New Roman" w:cs="Times New Roman"/>
          <w:noProof/>
          <w:sz w:val="24"/>
          <w:szCs w:val="24"/>
          <w:lang w:eastAsia="ar-SA"/>
        </w:rPr>
        <w:t xml:space="preserve">. </w:t>
      </w:r>
      <w:r>
        <w:rPr>
          <w:rFonts w:ascii="Times New Roman" w:eastAsia="Times New Roman" w:hAnsi="Times New Roman" w:cs="Times New Roman"/>
          <w:noProof/>
          <w:sz w:val="24"/>
          <w:szCs w:val="24"/>
          <w:lang w:val="en" w:eastAsia="ar-SA"/>
        </w:rPr>
        <w:t>On 28 July 2011 the Bulgarian Parliament adopted the new National Strategy of Scientific Research to 2020. The strategy introduced for the first time of</w:t>
      </w:r>
      <w:r>
        <w:rPr>
          <w:rFonts w:ascii="Times New Roman" w:eastAsia="Times New Roman" w:hAnsi="Times New Roman" w:cs="Times New Roman"/>
          <w:noProof/>
          <w:sz w:val="24"/>
          <w:szCs w:val="24"/>
          <w:lang w:val="en" w:eastAsia="ar-SA"/>
        </w:rPr>
        <w:t>ficially set priorities for the development of science in Bulgaria. One of the priorities is "Development of fundamental research under programme and competitive principle to the amount of 15% of the public expenses on science". (</w:t>
      </w:r>
      <w:r>
        <w:rPr>
          <w:rFonts w:ascii="Times New Roman" w:eastAsia="Times New Roman" w:hAnsi="Times New Roman" w:cs="Times New Roman"/>
          <w:i/>
          <w:noProof/>
          <w:sz w:val="24"/>
          <w:szCs w:val="24"/>
          <w:lang w:val="en" w:eastAsia="ar-SA"/>
        </w:rPr>
        <w:t xml:space="preserve">ref: National Strategy of </w:t>
      </w:r>
      <w:r>
        <w:rPr>
          <w:rFonts w:ascii="Times New Roman" w:eastAsia="Times New Roman" w:hAnsi="Times New Roman" w:cs="Times New Roman"/>
          <w:i/>
          <w:noProof/>
          <w:sz w:val="24"/>
          <w:szCs w:val="24"/>
          <w:lang w:val="en" w:eastAsia="ar-SA"/>
        </w:rPr>
        <w:t>Scientific Research to 2020</w:t>
      </w:r>
      <w:r>
        <w:rPr>
          <w:rFonts w:ascii="Times New Roman" w:eastAsia="Times New Roman" w:hAnsi="Times New Roman" w:cs="Times New Roman"/>
          <w:noProof/>
          <w:sz w:val="24"/>
          <w:szCs w:val="24"/>
          <w:lang w:val="en" w:eastAsia="ar-SA"/>
        </w:rPr>
        <w:t>).</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eastAsia="ar-SA"/>
        </w:rPr>
        <w:t>In Romania a</w:t>
      </w:r>
      <w:r>
        <w:rPr>
          <w:rFonts w:ascii="Times New Roman" w:eastAsia="Times New Roman" w:hAnsi="Times New Roman" w:cs="Times New Roman"/>
          <w:noProof/>
          <w:sz w:val="24"/>
          <w:szCs w:val="24"/>
          <w:lang w:val="en" w:eastAsia="ar-SA"/>
        </w:rPr>
        <w:t xml:space="preserve"> full chapter of the first National RDI Strategy 2007-2013 concerned the important role of “Exploratory and frontier research”. Under the influence of the European developments taking place around the creation of ERC, Romania committed to support advanced </w:t>
      </w:r>
      <w:r>
        <w:rPr>
          <w:rFonts w:ascii="Times New Roman" w:eastAsia="Times New Roman" w:hAnsi="Times New Roman" w:cs="Times New Roman"/>
          <w:noProof/>
          <w:sz w:val="24"/>
          <w:szCs w:val="24"/>
          <w:lang w:val="en" w:eastAsia="ar-SA"/>
        </w:rPr>
        <w:t>research, directed towards world-class scientific results, to encourage the development of the research career and the establishment of poles of excellence. Taking into account the significance of fundamental research for knowledge development and the trai</w:t>
      </w:r>
      <w:r>
        <w:rPr>
          <w:rFonts w:ascii="Times New Roman" w:eastAsia="Times New Roman" w:hAnsi="Times New Roman" w:cs="Times New Roman"/>
          <w:noProof/>
          <w:sz w:val="24"/>
          <w:szCs w:val="24"/>
          <w:lang w:val="en" w:eastAsia="ar-SA"/>
        </w:rPr>
        <w:t xml:space="preserve">ning of highly skilled human resources, the strategy emphasized excellence, inter-disciplinary research and international visibility. </w:t>
      </w:r>
      <w:r>
        <w:rPr>
          <w:rFonts w:ascii="Times New Roman" w:eastAsia="Times New Roman" w:hAnsi="Times New Roman" w:cs="Times New Roman"/>
          <w:noProof/>
          <w:sz w:val="24"/>
          <w:szCs w:val="24"/>
          <w:lang w:eastAsia="ar-SA"/>
        </w:rPr>
        <w:t>The second National RDI Strategy 2014-2020 (to be soon approved by the Government) maintains “Fundamental and frontier res</w:t>
      </w:r>
      <w:r>
        <w:rPr>
          <w:rFonts w:ascii="Times New Roman" w:eastAsia="Times New Roman" w:hAnsi="Times New Roman" w:cs="Times New Roman"/>
          <w:noProof/>
          <w:sz w:val="24"/>
          <w:szCs w:val="24"/>
          <w:lang w:eastAsia="ar-SA"/>
        </w:rPr>
        <w:t xml:space="preserve">earch” as a national priority. </w:t>
      </w:r>
      <w:r>
        <w:rPr>
          <w:rFonts w:ascii="Times New Roman" w:eastAsia="Times New Roman" w:hAnsi="Times New Roman" w:cs="Times New Roman"/>
          <w:noProof/>
          <w:sz w:val="24"/>
          <w:szCs w:val="24"/>
          <w:lang w:val="en" w:eastAsia="ar-SA"/>
        </w:rPr>
        <w:t>(</w:t>
      </w:r>
      <w:r>
        <w:rPr>
          <w:rFonts w:ascii="Times New Roman" w:eastAsia="Times New Roman" w:hAnsi="Times New Roman" w:cs="Times New Roman"/>
          <w:i/>
          <w:noProof/>
          <w:sz w:val="24"/>
          <w:szCs w:val="24"/>
          <w:lang w:val="en" w:eastAsia="ar-SA"/>
        </w:rPr>
        <w:t>ref: National RDI Strategies 2007-2013 and 2014-2020</w:t>
      </w:r>
      <w:r>
        <w:rPr>
          <w:rFonts w:ascii="Times New Roman" w:eastAsia="Times New Roman" w:hAnsi="Times New Roman" w:cs="Times New Roman"/>
          <w:noProof/>
          <w:sz w:val="24"/>
          <w:szCs w:val="24"/>
          <w:lang w:val="en" w:eastAsia="ar-SA"/>
        </w:rPr>
        <w:t>).</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eastAsia="ar-SA"/>
        </w:rPr>
        <w:t xml:space="preserve">The </w:t>
      </w:r>
      <w:r>
        <w:rPr>
          <w:rFonts w:ascii="Times New Roman" w:eastAsia="Times New Roman" w:hAnsi="Times New Roman" w:cs="Times New Roman"/>
          <w:noProof/>
          <w:sz w:val="24"/>
          <w:szCs w:val="24"/>
          <w:lang w:val="en" w:eastAsia="ar-SA"/>
        </w:rPr>
        <w:t xml:space="preserve">ERC’s commitment to excellence also inspired a </w:t>
      </w:r>
      <w:r>
        <w:rPr>
          <w:rFonts w:ascii="Times New Roman" w:eastAsia="Times New Roman" w:hAnsi="Times New Roman" w:cs="Times New Roman"/>
          <w:b/>
          <w:noProof/>
          <w:sz w:val="24"/>
          <w:szCs w:val="24"/>
          <w:lang w:val="en" w:eastAsia="ar-SA"/>
        </w:rPr>
        <w:t>focus on excellence at national level</w:t>
      </w:r>
      <w:r>
        <w:rPr>
          <w:rFonts w:ascii="Times New Roman" w:eastAsia="Times New Roman" w:hAnsi="Times New Roman" w:cs="Times New Roman"/>
          <w:noProof/>
          <w:sz w:val="24"/>
          <w:szCs w:val="24"/>
          <w:lang w:val="en" w:eastAsia="ar-SA"/>
        </w:rPr>
        <w:t xml:space="preserve">. In Poland, the legislative act on Higher education, known as ‘Partnership for </w:t>
      </w:r>
      <w:r>
        <w:rPr>
          <w:rFonts w:ascii="Times New Roman" w:eastAsia="Times New Roman" w:hAnsi="Times New Roman" w:cs="Times New Roman"/>
          <w:noProof/>
          <w:sz w:val="24"/>
          <w:szCs w:val="24"/>
          <w:lang w:val="en" w:eastAsia="ar-SA"/>
        </w:rPr>
        <w:t>Knowledge Reform’ entered into force in October 2011. The reform had excellence as a focus. The five general objectives of the reform indicate a commitment to funding from the state budget “only top quality scientific research […] according to internationa</w:t>
      </w:r>
      <w:r>
        <w:rPr>
          <w:rFonts w:ascii="Times New Roman" w:eastAsia="Times New Roman" w:hAnsi="Times New Roman" w:cs="Times New Roman"/>
          <w:noProof/>
          <w:sz w:val="24"/>
          <w:szCs w:val="24"/>
          <w:lang w:val="en" w:eastAsia="ar-SA"/>
        </w:rPr>
        <w:t>l standards” and to concentrate funds “on the units conducting the top-level R&amp;D activity”, at the same time implementing “a system of comprehensive evaluation of the quality of R&amp;D activity conducted by the scientific units”. (</w:t>
      </w:r>
      <w:r>
        <w:rPr>
          <w:rFonts w:ascii="Times New Roman" w:eastAsia="Times New Roman" w:hAnsi="Times New Roman" w:cs="Times New Roman"/>
          <w:i/>
          <w:noProof/>
          <w:sz w:val="24"/>
          <w:szCs w:val="24"/>
          <w:lang w:val="en" w:eastAsia="ar-SA"/>
        </w:rPr>
        <w:t>ref: Partnership for Knowled</w:t>
      </w:r>
      <w:r>
        <w:rPr>
          <w:rFonts w:ascii="Times New Roman" w:eastAsia="Times New Roman" w:hAnsi="Times New Roman" w:cs="Times New Roman"/>
          <w:i/>
          <w:noProof/>
          <w:sz w:val="24"/>
          <w:szCs w:val="24"/>
          <w:lang w:val="en" w:eastAsia="ar-SA"/>
        </w:rPr>
        <w:t>ge Reform</w:t>
      </w:r>
      <w:r>
        <w:rPr>
          <w:rFonts w:ascii="Times New Roman" w:eastAsia="Times New Roman" w:hAnsi="Times New Roman" w:cs="Times New Roman"/>
          <w:noProof/>
          <w:sz w:val="24"/>
          <w:szCs w:val="24"/>
          <w:lang w:val="en" w:eastAsia="ar-SA"/>
        </w:rPr>
        <w:t>).</w:t>
      </w:r>
    </w:p>
    <w:p w:rsidR="00E535A0" w:rsidRDefault="00E535A0">
      <w:pPr>
        <w:spacing w:after="0" w:line="240" w:lineRule="auto"/>
        <w:jc w:val="both"/>
        <w:rPr>
          <w:rFonts w:ascii="Times New Roman" w:eastAsia="Times New Roman" w:hAnsi="Times New Roman" w:cs="Times New Roman"/>
          <w:noProof/>
          <w:sz w:val="24"/>
          <w:szCs w:val="24"/>
          <w:lang w:val="en"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Cs/>
          <w:noProof/>
          <w:sz w:val="24"/>
          <w:szCs w:val="24"/>
          <w:lang w:eastAsia="ar-SA"/>
        </w:rPr>
        <w:t>ERC provided legitimacy for</w:t>
      </w:r>
      <w:r>
        <w:rPr>
          <w:rFonts w:ascii="Times New Roman" w:eastAsia="Times New Roman" w:hAnsi="Times New Roman" w:cs="Times New Roman"/>
          <w:b/>
          <w:bCs/>
          <w:noProof/>
          <w:sz w:val="24"/>
          <w:szCs w:val="24"/>
          <w:lang w:eastAsia="ar-SA"/>
        </w:rPr>
        <w:t xml:space="preserve"> increasing the level of competitive funding for basic/frontier research</w:t>
      </w:r>
      <w:r>
        <w:rPr>
          <w:rFonts w:ascii="Times New Roman" w:eastAsia="Times New Roman" w:hAnsi="Times New Roman" w:cs="Times New Roman"/>
          <w:bCs/>
          <w:noProof/>
          <w:sz w:val="24"/>
          <w:szCs w:val="24"/>
          <w:lang w:eastAsia="ar-SA"/>
        </w:rPr>
        <w:t xml:space="preserve">. In France, amid the animated debates </w:t>
      </w:r>
      <w:r>
        <w:rPr>
          <w:rFonts w:ascii="Times New Roman" w:eastAsia="Times New Roman" w:hAnsi="Times New Roman" w:cs="Times New Roman"/>
          <w:noProof/>
          <w:sz w:val="24"/>
          <w:szCs w:val="24"/>
          <w:lang w:eastAsia="ar-SA"/>
        </w:rPr>
        <w:t>caused by the proposal to establish ERC as a competitive funding structure at European level</w:t>
      </w:r>
      <w:r>
        <w:rPr>
          <w:rFonts w:ascii="Times New Roman" w:eastAsia="Times New Roman" w:hAnsi="Times New Roman" w:cs="Times New Roman"/>
          <w:bCs/>
          <w:noProof/>
          <w:sz w:val="24"/>
          <w:szCs w:val="24"/>
          <w:lang w:eastAsia="ar-SA"/>
        </w:rPr>
        <w:t>, t</w:t>
      </w:r>
      <w:r>
        <w:rPr>
          <w:rFonts w:ascii="Times New Roman" w:eastAsia="Times New Roman" w:hAnsi="Times New Roman" w:cs="Times New Roman"/>
          <w:noProof/>
          <w:sz w:val="24"/>
          <w:szCs w:val="24"/>
          <w:lang w:eastAsia="ar-SA"/>
        </w:rPr>
        <w:t>he Nationa</w:t>
      </w:r>
      <w:r>
        <w:rPr>
          <w:rFonts w:ascii="Times New Roman" w:eastAsia="Times New Roman" w:hAnsi="Times New Roman" w:cs="Times New Roman"/>
          <w:noProof/>
          <w:sz w:val="24"/>
          <w:szCs w:val="24"/>
          <w:lang w:eastAsia="ar-SA"/>
        </w:rPr>
        <w:t>l Agency for Research (ANR) was created in 2005 to fund fundamental and industrial research projects on a competitive basis. ANR represented a radical shift in the French research funding system and as such was heavily contested. The support given to ERC b</w:t>
      </w:r>
      <w:r>
        <w:rPr>
          <w:rFonts w:ascii="Times New Roman" w:eastAsia="Times New Roman" w:hAnsi="Times New Roman" w:cs="Times New Roman"/>
          <w:noProof/>
          <w:sz w:val="24"/>
          <w:szCs w:val="24"/>
          <w:lang w:eastAsia="ar-SA"/>
        </w:rPr>
        <w:t>y key players in the French research system increased the acceptance of the ANR. (</w:t>
      </w:r>
      <w:r>
        <w:rPr>
          <w:rFonts w:ascii="Times New Roman" w:eastAsia="Times New Roman" w:hAnsi="Times New Roman" w:cs="Times New Roman"/>
          <w:i/>
          <w:noProof/>
          <w:sz w:val="24"/>
          <w:szCs w:val="24"/>
          <w:lang w:eastAsia="ar-SA"/>
        </w:rPr>
        <w:t>ref: article Philippe Laredo, 2010</w:t>
      </w:r>
      <w:r>
        <w:rPr>
          <w:rFonts w:ascii="Times New Roman" w:eastAsia="Times New Roman" w:hAnsi="Times New Roman" w:cs="Times New Roman"/>
          <w:noProof/>
          <w:sz w:val="24"/>
          <w:szCs w:val="24"/>
          <w:lang w:eastAsia="ar-SA"/>
        </w:rPr>
        <w:t>).</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 xml:space="preserve">In 2009 the Hungarian Academy of Sciences (a major source of subsidy-based research funding) announced its Momentum Program, an </w:t>
      </w:r>
      <w:r>
        <w:rPr>
          <w:rFonts w:ascii="Times New Roman" w:eastAsia="Times New Roman" w:hAnsi="Times New Roman" w:cs="Times New Roman"/>
          <w:bCs/>
          <w:noProof/>
          <w:sz w:val="24"/>
          <w:szCs w:val="24"/>
          <w:lang w:eastAsia="ar-SA"/>
        </w:rPr>
        <w:t>instrument for competitive funding of basic/frontier research.</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priorities of the Italian national research system are outlined in the triennial PNR National Research Programme. PNR 2011-2013 contains 2 long-term actions both involving basic research: </w:t>
      </w:r>
      <w:r>
        <w:rPr>
          <w:rFonts w:ascii="Times New Roman" w:eastAsia="Times New Roman" w:hAnsi="Times New Roman" w:cs="Times New Roman"/>
          <w:noProof/>
          <w:sz w:val="24"/>
          <w:szCs w:val="24"/>
          <w:lang w:eastAsia="ar-SA"/>
        </w:rPr>
        <w:t xml:space="preserve">support to creativity and excellence in all fields of knowledge, and support for oriented basic research towards enabling technologies. The first action resembles very close the ERC approach. It provides support for critical basic research projects, free, </w:t>
      </w:r>
      <w:r>
        <w:rPr>
          <w:rFonts w:ascii="Times New Roman" w:eastAsia="Times New Roman" w:hAnsi="Times New Roman" w:cs="Times New Roman"/>
          <w:noProof/>
          <w:sz w:val="24"/>
          <w:szCs w:val="24"/>
          <w:lang w:eastAsia="ar-SA"/>
        </w:rPr>
        <w:t>aimed at developing new knowledge, with long term impacts, evaluated by international peer review. The Ministry of University and Research shall allocate a share of at least 25% of the funds available for projects in knowledge-driven, to scholars aged unde</w:t>
      </w:r>
      <w:r>
        <w:rPr>
          <w:rFonts w:ascii="Times New Roman" w:eastAsia="Times New Roman" w:hAnsi="Times New Roman" w:cs="Times New Roman"/>
          <w:noProof/>
          <w:sz w:val="24"/>
          <w:szCs w:val="24"/>
          <w:lang w:eastAsia="ar-SA"/>
        </w:rPr>
        <w:t xml:space="preserve">r 40 years. The action was implemented in 2014 with the </w:t>
      </w:r>
      <w:r>
        <w:rPr>
          <w:rFonts w:ascii="Times New Roman" w:eastAsia="Times New Roman" w:hAnsi="Times New Roman" w:cs="Times New Roman"/>
          <w:bCs/>
          <w:noProof/>
          <w:sz w:val="24"/>
          <w:szCs w:val="24"/>
          <w:lang w:val="en" w:eastAsia="ar-SA"/>
        </w:rPr>
        <w:t>Scientific Independence of Young Researchers</w:t>
      </w:r>
      <w:r>
        <w:rPr>
          <w:rFonts w:ascii="Times New Roman" w:eastAsia="Times New Roman" w:hAnsi="Times New Roman" w:cs="Times New Roman"/>
          <w:noProof/>
          <w:sz w:val="24"/>
          <w:szCs w:val="24"/>
          <w:lang w:eastAsia="ar-SA"/>
        </w:rPr>
        <w:t xml:space="preserve"> (SIR) Programme. (</w:t>
      </w:r>
      <w:r>
        <w:rPr>
          <w:rFonts w:ascii="Times New Roman" w:eastAsia="Times New Roman" w:hAnsi="Times New Roman" w:cs="Times New Roman"/>
          <w:i/>
          <w:noProof/>
          <w:sz w:val="24"/>
          <w:szCs w:val="24"/>
          <w:lang w:eastAsia="ar-SA"/>
        </w:rPr>
        <w:t>ref: PNR 2011-2013</w:t>
      </w:r>
      <w:r>
        <w:rPr>
          <w:rFonts w:ascii="Times New Roman" w:eastAsia="Times New Roman" w:hAnsi="Times New Roman" w:cs="Times New Roman"/>
          <w:noProof/>
          <w:sz w:val="24"/>
          <w:szCs w:val="24"/>
          <w:lang w:eastAsia="ar-SA"/>
        </w:rPr>
        <w:t>).</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val="en" w:eastAsia="ar-SA"/>
        </w:rPr>
        <w:t xml:space="preserve">New </w:t>
      </w:r>
      <w:r>
        <w:rPr>
          <w:rFonts w:ascii="Times New Roman" w:eastAsia="Times New Roman" w:hAnsi="Times New Roman" w:cs="Times New Roman"/>
          <w:b/>
          <w:noProof/>
          <w:sz w:val="24"/>
          <w:szCs w:val="24"/>
          <w:lang w:eastAsia="ar-SA"/>
        </w:rPr>
        <w:t>funding schemes</w:t>
      </w:r>
      <w:r>
        <w:rPr>
          <w:rFonts w:ascii="Times New Roman" w:eastAsia="Times New Roman" w:hAnsi="Times New Roman" w:cs="Times New Roman"/>
          <w:noProof/>
          <w:sz w:val="24"/>
          <w:szCs w:val="24"/>
          <w:lang w:eastAsia="ar-SA"/>
        </w:rPr>
        <w:t xml:space="preserve"> inspired (or very likely to be inspired based on their terminology and processes) by the ERC sc</w:t>
      </w:r>
      <w:r>
        <w:rPr>
          <w:rFonts w:ascii="Times New Roman" w:eastAsia="Times New Roman" w:hAnsi="Times New Roman" w:cs="Times New Roman"/>
          <w:noProof/>
          <w:sz w:val="24"/>
          <w:szCs w:val="24"/>
          <w:lang w:eastAsia="ar-SA"/>
        </w:rPr>
        <w:t xml:space="preserve">hemes were launched in </w:t>
      </w:r>
      <w:r>
        <w:rPr>
          <w:rFonts w:ascii="Times New Roman" w:eastAsia="Times New Roman" w:hAnsi="Times New Roman" w:cs="Times New Roman"/>
          <w:bCs/>
          <w:noProof/>
          <w:sz w:val="24"/>
          <w:szCs w:val="24"/>
          <w:lang w:eastAsia="ar-SA"/>
        </w:rPr>
        <w:t>four</w:t>
      </w:r>
      <w:r>
        <w:rPr>
          <w:rFonts w:ascii="Times New Roman" w:eastAsia="Times New Roman" w:hAnsi="Times New Roman" w:cs="Times New Roman"/>
          <w:noProof/>
          <w:sz w:val="24"/>
          <w:szCs w:val="24"/>
          <w:lang w:eastAsia="ar-SA"/>
        </w:rPr>
        <w:t xml:space="preserve"> of the seven EU countries with no investigator-driven funding schemes operational in 2006 (EL, IT, PL and RO)</w:t>
      </w:r>
      <w:r>
        <w:rPr>
          <w:rFonts w:ascii="Times New Roman" w:eastAsia="Times New Roman" w:hAnsi="Times New Roman" w:cs="Times New Roman"/>
          <w:noProof/>
          <w:sz w:val="24"/>
          <w:szCs w:val="24"/>
          <w:vertAlign w:val="superscript"/>
          <w:lang w:eastAsia="ar-SA"/>
        </w:rPr>
        <w:footnoteReference w:id="7"/>
      </w:r>
      <w:r>
        <w:rPr>
          <w:rFonts w:ascii="Times New Roman" w:eastAsia="Times New Roman" w:hAnsi="Times New Roman" w:cs="Times New Roman"/>
          <w:noProof/>
          <w:sz w:val="24"/>
          <w:szCs w:val="24"/>
          <w:lang w:eastAsia="ar-SA"/>
        </w:rPr>
        <w:t xml:space="preserve"> and in </w:t>
      </w:r>
      <w:r>
        <w:rPr>
          <w:rFonts w:ascii="Times New Roman" w:eastAsia="Times New Roman" w:hAnsi="Times New Roman" w:cs="Times New Roman"/>
          <w:bCs/>
          <w:noProof/>
          <w:sz w:val="24"/>
          <w:szCs w:val="24"/>
          <w:lang w:eastAsia="ar-SA"/>
        </w:rPr>
        <w:t>seven</w:t>
      </w:r>
      <w:r>
        <w:rPr>
          <w:rFonts w:ascii="Times New Roman" w:eastAsia="Times New Roman" w:hAnsi="Times New Roman" w:cs="Times New Roman"/>
          <w:noProof/>
          <w:sz w:val="24"/>
          <w:szCs w:val="24"/>
          <w:lang w:eastAsia="ar-SA"/>
        </w:rPr>
        <w:t xml:space="preserve"> of the EU countries where such schemes did exist since before 2007. Thus ERC influence at the level of t</w:t>
      </w:r>
      <w:r>
        <w:rPr>
          <w:rFonts w:ascii="Times New Roman" w:eastAsia="Times New Roman" w:hAnsi="Times New Roman" w:cs="Times New Roman"/>
          <w:noProof/>
          <w:sz w:val="24"/>
          <w:szCs w:val="24"/>
          <w:lang w:eastAsia="ar-SA"/>
        </w:rPr>
        <w:t xml:space="preserve">he funding instruments could be seen in </w:t>
      </w:r>
      <w:r>
        <w:rPr>
          <w:rFonts w:ascii="Times New Roman" w:eastAsia="Times New Roman" w:hAnsi="Times New Roman" w:cs="Times New Roman"/>
          <w:bCs/>
          <w:noProof/>
          <w:sz w:val="24"/>
          <w:szCs w:val="24"/>
          <w:lang w:eastAsia="ar-SA"/>
        </w:rPr>
        <w:t>eleven</w:t>
      </w:r>
      <w:r>
        <w:rPr>
          <w:rFonts w:ascii="Times New Roman" w:eastAsia="Times New Roman" w:hAnsi="Times New Roman" w:cs="Times New Roman"/>
          <w:noProof/>
          <w:sz w:val="24"/>
          <w:szCs w:val="24"/>
          <w:lang w:eastAsia="ar-SA"/>
        </w:rPr>
        <w:t xml:space="preserve"> EU member states.</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uppressAutoHyphens/>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One notable change which can be directly attributed to the ERC is the creation of the National Science Centre (NCN) in Poland in 2010. NCN is a government executive agency set up to fund bas</w:t>
      </w:r>
      <w:r>
        <w:rPr>
          <w:rFonts w:ascii="Times New Roman" w:eastAsia="Times New Roman" w:hAnsi="Times New Roman" w:cs="Times New Roman"/>
          <w:noProof/>
          <w:sz w:val="24"/>
          <w:szCs w:val="24"/>
          <w:lang w:eastAsia="ar-SA"/>
        </w:rPr>
        <w:t>ic research with the ERC as an explicit model</w:t>
      </w:r>
      <w:r>
        <w:rPr>
          <w:rFonts w:ascii="Times New Roman" w:eastAsia="Times New Roman" w:hAnsi="Times New Roman" w:cs="Times New Roman"/>
          <w:noProof/>
          <w:sz w:val="24"/>
          <w:szCs w:val="24"/>
          <w:vertAlign w:val="superscript"/>
          <w:lang w:eastAsia="ar-SA"/>
        </w:rPr>
        <w:footnoteReference w:id="8"/>
      </w:r>
      <w:r>
        <w:rPr>
          <w:rFonts w:ascii="Times New Roman" w:eastAsia="Times New Roman" w:hAnsi="Times New Roman" w:cs="Times New Roman"/>
          <w:noProof/>
          <w:sz w:val="24"/>
          <w:szCs w:val="24"/>
          <w:lang w:eastAsia="ar-SA"/>
        </w:rPr>
        <w:t>. The Council of the NCN, consisting of 24 distinguished professors selected by the Nominating Committee and appointed by the Minister of Science and Higher Education, establishes the funding strategy and the i</w:t>
      </w:r>
      <w:r>
        <w:rPr>
          <w:rFonts w:ascii="Times New Roman" w:eastAsia="Times New Roman" w:hAnsi="Times New Roman" w:cs="Times New Roman"/>
          <w:noProof/>
          <w:sz w:val="24"/>
          <w:szCs w:val="24"/>
          <w:lang w:eastAsia="ar-SA"/>
        </w:rPr>
        <w:t>nstruments in line with the country’s development strategy. The NCN Council is renewed every two years. The council nominates 25 panels of experts evaluators distributed over three scientific domains which are very similar to the ERC’s panels.</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How did Ideas SP strengthen the scientific excellence of basic research in Europe? </w:t>
      </w: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bCs/>
          <w:noProof/>
          <w:sz w:val="24"/>
          <w:szCs w:val="24"/>
          <w:lang w:eastAsia="ar-SA"/>
        </w:rPr>
        <w:t xml:space="preserve">This is the key objective of the ERC and </w:t>
      </w:r>
      <w:r>
        <w:rPr>
          <w:rFonts w:ascii="Times New Roman" w:eastAsia="Times New Roman" w:hAnsi="Times New Roman" w:cs="Times New Roman"/>
          <w:bCs/>
          <w:noProof/>
          <w:sz w:val="24"/>
          <w:szCs w:val="24"/>
          <w:lang w:val="en-US" w:eastAsia="ar-SA"/>
        </w:rPr>
        <w:t>ERC projects are producing and disseminating a very substantial number of research findings in international, peer reviewed journal</w:t>
      </w:r>
      <w:r>
        <w:rPr>
          <w:rFonts w:ascii="Times New Roman" w:eastAsia="Times New Roman" w:hAnsi="Times New Roman" w:cs="Times New Roman"/>
          <w:bCs/>
          <w:noProof/>
          <w:sz w:val="24"/>
          <w:szCs w:val="24"/>
          <w:lang w:val="en-US" w:eastAsia="ar-SA"/>
        </w:rPr>
        <w:t>s including the most prestigious ones.</w:t>
      </w: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noProof/>
          <w:sz w:val="24"/>
          <w:szCs w:val="24"/>
          <w:lang w:val="en" w:eastAsia="ar-SA"/>
        </w:rPr>
        <w:t xml:space="preserve">As of 15 August 2014 </w:t>
      </w:r>
      <w:r>
        <w:rPr>
          <w:rFonts w:ascii="Times New Roman" w:eastAsia="Times New Roman" w:hAnsi="Times New Roman" w:cs="Times New Roman"/>
          <w:bCs/>
          <w:noProof/>
          <w:sz w:val="24"/>
          <w:szCs w:val="24"/>
          <w:lang w:val="en-US" w:eastAsia="ar-SA"/>
        </w:rPr>
        <w:t xml:space="preserve">over </w:t>
      </w:r>
      <w:r>
        <w:rPr>
          <w:rFonts w:ascii="Times New Roman" w:eastAsia="Times New Roman" w:hAnsi="Times New Roman" w:cs="Times New Roman"/>
          <w:b/>
          <w:bCs/>
          <w:noProof/>
          <w:sz w:val="24"/>
          <w:szCs w:val="24"/>
          <w:lang w:val="en-US" w:eastAsia="ar-SA"/>
        </w:rPr>
        <w:t>29 000</w:t>
      </w:r>
      <w:r>
        <w:rPr>
          <w:rFonts w:ascii="Times New Roman" w:eastAsia="Times New Roman" w:hAnsi="Times New Roman" w:cs="Times New Roman"/>
          <w:bCs/>
          <w:noProof/>
          <w:sz w:val="24"/>
          <w:szCs w:val="24"/>
          <w:lang w:val="en-US" w:eastAsia="ar-SA"/>
        </w:rPr>
        <w:t xml:space="preserve"> </w:t>
      </w:r>
      <w:r>
        <w:rPr>
          <w:rFonts w:ascii="Times New Roman" w:eastAsia="Times New Roman" w:hAnsi="Times New Roman" w:cs="Times New Roman"/>
          <w:b/>
          <w:bCs/>
          <w:noProof/>
          <w:sz w:val="24"/>
          <w:szCs w:val="24"/>
          <w:lang w:val="en-US" w:eastAsia="ar-SA"/>
        </w:rPr>
        <w:t>publications</w:t>
      </w:r>
      <w:r>
        <w:rPr>
          <w:rFonts w:ascii="Times New Roman" w:eastAsia="Times New Roman" w:hAnsi="Times New Roman" w:cs="Times New Roman"/>
          <w:bCs/>
          <w:noProof/>
          <w:sz w:val="24"/>
          <w:szCs w:val="24"/>
          <w:lang w:val="en-US" w:eastAsia="ar-SA"/>
        </w:rPr>
        <w:t xml:space="preserve"> acknowledging ERC support have appeared in the </w:t>
      </w:r>
      <w:r>
        <w:rPr>
          <w:rFonts w:ascii="Times New Roman" w:eastAsia="Times New Roman" w:hAnsi="Times New Roman" w:cs="Times New Roman"/>
          <w:b/>
          <w:bCs/>
          <w:noProof/>
          <w:sz w:val="24"/>
          <w:szCs w:val="24"/>
          <w:lang w:val="en-US" w:eastAsia="ar-SA"/>
        </w:rPr>
        <w:t>international, peer reviewed journals</w:t>
      </w:r>
      <w:r>
        <w:rPr>
          <w:rFonts w:ascii="Times New Roman" w:eastAsia="Times New Roman" w:hAnsi="Times New Roman" w:cs="Times New Roman"/>
          <w:bCs/>
          <w:noProof/>
          <w:sz w:val="24"/>
          <w:szCs w:val="24"/>
          <w:lang w:val="en-US" w:eastAsia="ar-SA"/>
        </w:rPr>
        <w:t xml:space="preserve"> indexed by the Web of Science database</w:t>
      </w:r>
      <w:r>
        <w:rPr>
          <w:rFonts w:ascii="Times New Roman" w:eastAsia="Times New Roman" w:hAnsi="Times New Roman" w:cs="Times New Roman"/>
          <w:bCs/>
          <w:noProof/>
          <w:sz w:val="24"/>
          <w:szCs w:val="24"/>
          <w:vertAlign w:val="superscript"/>
          <w:lang w:val="en-US" w:eastAsia="ar-SA"/>
        </w:rPr>
        <w:footnoteReference w:id="9"/>
      </w:r>
      <w:r>
        <w:rPr>
          <w:rFonts w:ascii="Times New Roman" w:eastAsia="Times New Roman" w:hAnsi="Times New Roman" w:cs="Times New Roman"/>
          <w:bCs/>
          <w:noProof/>
          <w:sz w:val="24"/>
          <w:szCs w:val="24"/>
          <w:lang w:val="en-US" w:eastAsia="ar-SA"/>
        </w:rPr>
        <w:t xml:space="preserve">. These publications report findings from both </w:t>
      </w:r>
      <w:r>
        <w:rPr>
          <w:rFonts w:ascii="Times New Roman" w:eastAsia="Times New Roman" w:hAnsi="Times New Roman" w:cs="Times New Roman"/>
          <w:bCs/>
          <w:noProof/>
          <w:sz w:val="24"/>
          <w:szCs w:val="24"/>
          <w:lang w:val="en-US" w:eastAsia="ar-SA"/>
        </w:rPr>
        <w:t>ongoing and finalized ERC projects. Because of the profile of the ERC’s budget over FP7 the large majority of ERC projects were still ongoing as of 15 August 2014 and therefore the final number of publications from ERC projects funded under FP7 will be sub</w:t>
      </w:r>
      <w:r>
        <w:rPr>
          <w:rFonts w:ascii="Times New Roman" w:eastAsia="Times New Roman" w:hAnsi="Times New Roman" w:cs="Times New Roman"/>
          <w:bCs/>
          <w:noProof/>
          <w:sz w:val="24"/>
          <w:szCs w:val="24"/>
          <w:lang w:val="en-US" w:eastAsia="ar-SA"/>
        </w:rPr>
        <w:t>stantially higher than the current figure.</w:t>
      </w:r>
    </w:p>
    <w:p w:rsidR="00E535A0" w:rsidRDefault="00E535A0">
      <w:pPr>
        <w:spacing w:after="0" w:line="240" w:lineRule="auto"/>
        <w:jc w:val="both"/>
        <w:rPr>
          <w:rFonts w:ascii="Times New Roman" w:eastAsia="Times New Roman" w:hAnsi="Times New Roman" w:cs="Times New Roman"/>
          <w:bCs/>
          <w:noProof/>
          <w:sz w:val="24"/>
          <w:szCs w:val="24"/>
          <w:lang w:val="en-US"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 xml:space="preserve">Table 11 below shows the number of publications acknowledging ERC funding that have appeared in </w:t>
      </w:r>
      <w:r>
        <w:rPr>
          <w:rFonts w:ascii="Times New Roman" w:eastAsia="Times New Roman" w:hAnsi="Times New Roman" w:cs="Times New Roman"/>
          <w:bCs/>
          <w:iCs/>
          <w:noProof/>
          <w:sz w:val="24"/>
          <w:szCs w:val="24"/>
          <w:lang w:eastAsia="ar-SA"/>
        </w:rPr>
        <w:t>two of the most prestigious scientific journals (</w:t>
      </w:r>
      <w:r>
        <w:rPr>
          <w:rFonts w:ascii="Times New Roman" w:eastAsia="Times New Roman" w:hAnsi="Times New Roman" w:cs="Times New Roman"/>
          <w:bCs/>
          <w:i/>
          <w:iCs/>
          <w:noProof/>
          <w:sz w:val="24"/>
          <w:szCs w:val="24"/>
          <w:lang w:eastAsia="ar-SA"/>
        </w:rPr>
        <w:t>Nature</w:t>
      </w:r>
      <w:r>
        <w:rPr>
          <w:rFonts w:ascii="Times New Roman" w:eastAsia="Times New Roman" w:hAnsi="Times New Roman" w:cs="Times New Roman"/>
          <w:bCs/>
          <w:iCs/>
          <w:noProof/>
          <w:sz w:val="24"/>
          <w:szCs w:val="24"/>
          <w:lang w:eastAsia="ar-SA"/>
        </w:rPr>
        <w:t xml:space="preserve"> and </w:t>
      </w:r>
      <w:r>
        <w:rPr>
          <w:rFonts w:ascii="Times New Roman" w:eastAsia="Times New Roman" w:hAnsi="Times New Roman" w:cs="Times New Roman"/>
          <w:bCs/>
          <w:i/>
          <w:iCs/>
          <w:noProof/>
          <w:sz w:val="24"/>
          <w:szCs w:val="24"/>
          <w:lang w:eastAsia="ar-SA"/>
        </w:rPr>
        <w:t>Science)</w:t>
      </w:r>
      <w:r>
        <w:rPr>
          <w:rFonts w:ascii="Times New Roman" w:eastAsia="Times New Roman" w:hAnsi="Times New Roman" w:cs="Times New Roman"/>
          <w:bCs/>
          <w:i/>
          <w:noProof/>
          <w:sz w:val="24"/>
          <w:szCs w:val="24"/>
          <w:lang w:eastAsia="ar-SA"/>
        </w:rPr>
        <w:t>.</w:t>
      </w:r>
      <w:r>
        <w:rPr>
          <w:rFonts w:ascii="Times New Roman" w:eastAsia="Times New Roman" w:hAnsi="Times New Roman" w:cs="Times New Roman"/>
          <w:bCs/>
          <w:noProof/>
          <w:sz w:val="24"/>
          <w:szCs w:val="24"/>
          <w:lang w:eastAsia="ar-SA"/>
        </w:rPr>
        <w:t xml:space="preserve"> </w:t>
      </w:r>
      <w:r>
        <w:rPr>
          <w:rFonts w:ascii="Times New Roman" w:eastAsia="Times New Roman" w:hAnsi="Times New Roman" w:cs="Times New Roman"/>
          <w:bCs/>
          <w:noProof/>
          <w:sz w:val="24"/>
          <w:szCs w:val="24"/>
          <w:lang w:val="en-US" w:eastAsia="ar-SA"/>
        </w:rPr>
        <w:t>T</w:t>
      </w:r>
      <w:r>
        <w:rPr>
          <w:rFonts w:ascii="Times New Roman" w:eastAsia="Times New Roman" w:hAnsi="Times New Roman" w:cs="Times New Roman"/>
          <w:bCs/>
          <w:noProof/>
          <w:sz w:val="24"/>
          <w:szCs w:val="24"/>
          <w:lang w:eastAsia="ar-SA"/>
        </w:rPr>
        <w:t xml:space="preserve">he combined number of articles in </w:t>
      </w:r>
      <w:r>
        <w:rPr>
          <w:rFonts w:ascii="Times New Roman" w:eastAsia="Times New Roman" w:hAnsi="Times New Roman" w:cs="Times New Roman"/>
          <w:bCs/>
          <w:i/>
          <w:noProof/>
          <w:sz w:val="24"/>
          <w:szCs w:val="24"/>
          <w:lang w:eastAsia="ar-SA"/>
        </w:rPr>
        <w:t>Nature</w:t>
      </w:r>
      <w:r>
        <w:rPr>
          <w:rFonts w:ascii="Times New Roman" w:eastAsia="Times New Roman" w:hAnsi="Times New Roman" w:cs="Times New Roman"/>
          <w:bCs/>
          <w:noProof/>
          <w:sz w:val="24"/>
          <w:szCs w:val="24"/>
          <w:lang w:eastAsia="ar-SA"/>
        </w:rPr>
        <w:t xml:space="preserve"> and </w:t>
      </w:r>
      <w:r>
        <w:rPr>
          <w:rFonts w:ascii="Times New Roman" w:eastAsia="Times New Roman" w:hAnsi="Times New Roman" w:cs="Times New Roman"/>
          <w:bCs/>
          <w:i/>
          <w:noProof/>
          <w:sz w:val="24"/>
          <w:szCs w:val="24"/>
          <w:lang w:eastAsia="ar-SA"/>
        </w:rPr>
        <w:t>Science</w:t>
      </w:r>
      <w:r>
        <w:rPr>
          <w:rFonts w:ascii="Times New Roman" w:eastAsia="Times New Roman" w:hAnsi="Times New Roman" w:cs="Times New Roman"/>
          <w:bCs/>
          <w:noProof/>
          <w:sz w:val="24"/>
          <w:szCs w:val="24"/>
          <w:lang w:eastAsia="ar-SA"/>
        </w:rPr>
        <w:t xml:space="preserve"> acknowledging ERC funding in 2008, when there were only a small number of active ERC projects, was </w:t>
      </w:r>
      <w:r>
        <w:rPr>
          <w:rFonts w:ascii="Times New Roman" w:eastAsia="Times New Roman" w:hAnsi="Times New Roman" w:cs="Times New Roman"/>
          <w:b/>
          <w:bCs/>
          <w:noProof/>
          <w:sz w:val="24"/>
          <w:szCs w:val="24"/>
          <w:lang w:eastAsia="ar-SA"/>
        </w:rPr>
        <w:t>5</w:t>
      </w:r>
      <w:r>
        <w:rPr>
          <w:rFonts w:ascii="Times New Roman" w:eastAsia="Times New Roman" w:hAnsi="Times New Roman" w:cs="Times New Roman"/>
          <w:bCs/>
          <w:noProof/>
          <w:sz w:val="24"/>
          <w:szCs w:val="24"/>
          <w:lang w:eastAsia="ar-SA"/>
        </w:rPr>
        <w:t xml:space="preserve">. By the end of September 2014 there were over </w:t>
      </w:r>
      <w:r>
        <w:rPr>
          <w:rFonts w:ascii="Times New Roman" w:eastAsia="Times New Roman" w:hAnsi="Times New Roman" w:cs="Times New Roman"/>
          <w:b/>
          <w:bCs/>
          <w:noProof/>
          <w:sz w:val="24"/>
          <w:szCs w:val="24"/>
          <w:lang w:eastAsia="ar-SA"/>
        </w:rPr>
        <w:t>650</w:t>
      </w:r>
      <w:r>
        <w:rPr>
          <w:rFonts w:ascii="Times New Roman" w:eastAsia="Times New Roman" w:hAnsi="Times New Roman" w:cs="Times New Roman"/>
          <w:bCs/>
          <w:noProof/>
          <w:sz w:val="24"/>
          <w:szCs w:val="24"/>
          <w:lang w:eastAsia="ar-SA"/>
        </w:rPr>
        <w:t>.</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E535A0">
      <w:pPr>
        <w:spacing w:after="0" w:line="240" w:lineRule="auto"/>
        <w:jc w:val="both"/>
        <w:rPr>
          <w:rFonts w:ascii="Times New Roman" w:eastAsia="Times New Roman" w:hAnsi="Times New Roman" w:cs="Times New Roman"/>
          <w:b/>
          <w:bCs/>
          <w:i/>
          <w:noProof/>
          <w:sz w:val="24"/>
          <w:szCs w:val="24"/>
          <w:lang w:eastAsia="ar-SA"/>
        </w:rPr>
      </w:pPr>
    </w:p>
    <w:tbl>
      <w:tblPr>
        <w:tblW w:w="9639" w:type="dxa"/>
        <w:tblInd w:w="-23" w:type="dxa"/>
        <w:tblLayout w:type="fixed"/>
        <w:tblCellMar>
          <w:left w:w="0" w:type="dxa"/>
          <w:right w:w="0" w:type="dxa"/>
        </w:tblCellMar>
        <w:tblLook w:val="04A0" w:firstRow="1" w:lastRow="0" w:firstColumn="1" w:lastColumn="0" w:noHBand="0" w:noVBand="1"/>
      </w:tblPr>
      <w:tblGrid>
        <w:gridCol w:w="2251"/>
        <w:gridCol w:w="923"/>
        <w:gridCol w:w="924"/>
        <w:gridCol w:w="923"/>
        <w:gridCol w:w="924"/>
        <w:gridCol w:w="923"/>
        <w:gridCol w:w="924"/>
        <w:gridCol w:w="923"/>
        <w:gridCol w:w="924"/>
      </w:tblGrid>
      <w:tr w:rsidR="00E535A0">
        <w:trPr>
          <w:trHeight w:val="300"/>
        </w:trPr>
        <w:tc>
          <w:tcPr>
            <w:tcW w:w="2251" w:type="dxa"/>
            <w:tcBorders>
              <w:top w:val="single" w:sz="8"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Publications acknowledging ERC funding</w:t>
            </w:r>
          </w:p>
        </w:tc>
        <w:tc>
          <w:tcPr>
            <w:tcW w:w="923"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2008</w:t>
            </w:r>
          </w:p>
        </w:tc>
        <w:tc>
          <w:tcPr>
            <w:tcW w:w="924"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2009</w:t>
            </w:r>
          </w:p>
        </w:tc>
        <w:tc>
          <w:tcPr>
            <w:tcW w:w="923"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2010</w:t>
            </w:r>
          </w:p>
        </w:tc>
        <w:tc>
          <w:tcPr>
            <w:tcW w:w="924"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2011</w:t>
            </w:r>
          </w:p>
        </w:tc>
        <w:tc>
          <w:tcPr>
            <w:tcW w:w="923"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2012</w:t>
            </w:r>
          </w:p>
        </w:tc>
        <w:tc>
          <w:tcPr>
            <w:tcW w:w="924"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2013</w:t>
            </w:r>
          </w:p>
        </w:tc>
        <w:tc>
          <w:tcPr>
            <w:tcW w:w="923"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2014</w:t>
            </w:r>
            <w:r>
              <w:rPr>
                <w:rFonts w:ascii="Times New Roman" w:eastAsia="Times New Roman" w:hAnsi="Times New Roman" w:cs="Times New Roman"/>
                <w:b/>
                <w:bCs/>
                <w:noProof/>
                <w:sz w:val="24"/>
                <w:szCs w:val="24"/>
                <w:vertAlign w:val="superscript"/>
                <w:lang w:eastAsia="ar-SA"/>
              </w:rPr>
              <w:footnoteReference w:id="10"/>
            </w:r>
          </w:p>
        </w:tc>
        <w:tc>
          <w:tcPr>
            <w:tcW w:w="924" w:type="dxa"/>
            <w:tcBorders>
              <w:top w:val="single" w:sz="8" w:space="0" w:color="auto"/>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Total</w:t>
            </w:r>
          </w:p>
        </w:tc>
      </w:tr>
      <w:tr w:rsidR="00E535A0">
        <w:trPr>
          <w:trHeight w:val="300"/>
        </w:trPr>
        <w:tc>
          <w:tcPr>
            <w:tcW w:w="2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NATURE</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2</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13</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30</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51</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70</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102</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75</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343</w:t>
            </w:r>
          </w:p>
        </w:tc>
      </w:tr>
      <w:tr w:rsidR="00E535A0">
        <w:trPr>
          <w:trHeight w:val="300"/>
        </w:trPr>
        <w:tc>
          <w:tcPr>
            <w:tcW w:w="2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SCIENCE</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3</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11</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26</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46</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69</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90</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62</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307</w:t>
            </w:r>
          </w:p>
        </w:tc>
      </w:tr>
      <w:tr w:rsidR="00E535A0">
        <w:trPr>
          <w:trHeight w:val="300"/>
        </w:trPr>
        <w:tc>
          <w:tcPr>
            <w:tcW w:w="2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Total Nature and Science</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5</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24</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56</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97</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139</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192</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137</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650</w:t>
            </w:r>
          </w:p>
        </w:tc>
      </w:tr>
      <w:tr w:rsidR="00E535A0">
        <w:trPr>
          <w:trHeight w:val="300"/>
        </w:trPr>
        <w:tc>
          <w:tcPr>
            <w:tcW w:w="22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ALL PUB</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51</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592</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1944</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4114</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7041</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10504</w:t>
            </w:r>
          </w:p>
        </w:tc>
        <w:tc>
          <w:tcPr>
            <w:tcW w:w="9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6073</w:t>
            </w:r>
          </w:p>
        </w:tc>
        <w:tc>
          <w:tcPr>
            <w:tcW w:w="9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30319</w:t>
            </w:r>
          </w:p>
        </w:tc>
      </w:tr>
      <w:tr w:rsidR="00E535A0">
        <w:trPr>
          <w:trHeight w:val="300"/>
        </w:trPr>
        <w:tc>
          <w:tcPr>
            <w:tcW w:w="2251"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3"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4"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3"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4"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3"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4"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3"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c>
          <w:tcPr>
            <w:tcW w:w="924" w:type="dxa"/>
            <w:noWrap/>
            <w:tcMar>
              <w:top w:w="0" w:type="dxa"/>
              <w:left w:w="108" w:type="dxa"/>
              <w:bottom w:w="0" w:type="dxa"/>
              <w:right w:w="108" w:type="dxa"/>
            </w:tcMar>
            <w:vAlign w:val="bottom"/>
            <w:hideMark/>
          </w:tcPr>
          <w:p w:rsidR="00E535A0" w:rsidRDefault="00E535A0">
            <w:pPr>
              <w:spacing w:after="0" w:line="240" w:lineRule="auto"/>
              <w:jc w:val="both"/>
              <w:rPr>
                <w:rFonts w:ascii="Times New Roman" w:eastAsia="Times New Roman" w:hAnsi="Times New Roman" w:cs="Times New Roman"/>
                <w:bCs/>
                <w:noProof/>
                <w:sz w:val="24"/>
                <w:szCs w:val="24"/>
                <w:lang w:eastAsia="ar-SA"/>
              </w:rPr>
            </w:pPr>
          </w:p>
        </w:tc>
      </w:tr>
    </w:tbl>
    <w:p w:rsidR="00E535A0" w:rsidRDefault="00C953F5">
      <w:pPr>
        <w:spacing w:after="0" w:line="240" w:lineRule="auto"/>
        <w:jc w:val="center"/>
        <w:rPr>
          <w:rFonts w:ascii="Times New Roman" w:eastAsia="Times New Roman" w:hAnsi="Times New Roman" w:cs="Times New Roman"/>
          <w:b/>
          <w:bCs/>
          <w:noProof/>
          <w:szCs w:val="24"/>
          <w:lang w:eastAsia="ar-SA"/>
        </w:rPr>
      </w:pPr>
      <w:r>
        <w:rPr>
          <w:rFonts w:ascii="Times New Roman" w:eastAsia="Times New Roman" w:hAnsi="Times New Roman" w:cs="Times New Roman"/>
          <w:b/>
          <w:bCs/>
          <w:noProof/>
          <w:szCs w:val="24"/>
          <w:lang w:eastAsia="ar-SA"/>
        </w:rPr>
        <w:t>Number of publications acknowledging ERC funding in Nature and Science</w:t>
      </w:r>
    </w:p>
    <w:p w:rsidR="00E535A0" w:rsidRDefault="00E535A0">
      <w:pPr>
        <w:spacing w:after="0" w:line="240" w:lineRule="auto"/>
        <w:jc w:val="both"/>
        <w:rPr>
          <w:rFonts w:ascii="Times New Roman" w:eastAsia="Times New Roman" w:hAnsi="Times New Roman" w:cs="Times New Roman"/>
          <w:noProof/>
          <w:sz w:val="24"/>
          <w:szCs w:val="24"/>
          <w:lang w:val="en"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noProof/>
          <w:sz w:val="24"/>
          <w:szCs w:val="24"/>
          <w:lang w:val="en" w:eastAsia="ar-SA"/>
        </w:rPr>
        <w:t xml:space="preserve">While the vast majority of the ERC grants are still on-going, if one takes only </w:t>
      </w:r>
      <w:r>
        <w:rPr>
          <w:rFonts w:ascii="Times New Roman" w:eastAsia="Times New Roman" w:hAnsi="Times New Roman" w:cs="Times New Roman"/>
          <w:bCs/>
          <w:noProof/>
          <w:sz w:val="24"/>
          <w:szCs w:val="24"/>
          <w:lang w:eastAsia="ar-SA"/>
        </w:rPr>
        <w:t>314 completed ERC projects from the earliest calls for proposals (187 projects from StG 2007 and 127 projects from AdG 2008), they have reported 10,796 publications</w:t>
      </w:r>
      <w:r>
        <w:rPr>
          <w:rFonts w:ascii="Times New Roman" w:eastAsia="Times New Roman" w:hAnsi="Times New Roman" w:cs="Times New Roman"/>
          <w:bCs/>
          <w:noProof/>
          <w:sz w:val="24"/>
          <w:szCs w:val="24"/>
          <w:vertAlign w:val="superscript"/>
          <w:lang w:eastAsia="ar-SA"/>
        </w:rPr>
        <w:footnoteReference w:id="11"/>
      </w:r>
      <w:r>
        <w:rPr>
          <w:rFonts w:ascii="Times New Roman" w:eastAsia="Times New Roman" w:hAnsi="Times New Roman" w:cs="Times New Roman"/>
          <w:bCs/>
          <w:noProof/>
          <w:sz w:val="24"/>
          <w:szCs w:val="24"/>
          <w:lang w:eastAsia="ar-SA"/>
        </w:rPr>
        <w:t xml:space="preserve">. This </w:t>
      </w:r>
      <w:r>
        <w:rPr>
          <w:rFonts w:ascii="Times New Roman" w:eastAsia="Times New Roman" w:hAnsi="Times New Roman" w:cs="Times New Roman"/>
          <w:bCs/>
          <w:noProof/>
          <w:sz w:val="24"/>
          <w:szCs w:val="24"/>
          <w:lang w:eastAsia="ar-SA"/>
        </w:rPr>
        <w:t>gives an overall average of 34 publications per project but with marked differences between fields and projects. Projects in Life Sciences have on average 23 publications, Physical Sciences and Engineering 48, and Social Sciences and Humanities 18.</w:t>
      </w:r>
    </w:p>
    <w:p w:rsidR="00E535A0" w:rsidRDefault="00E535A0">
      <w:pPr>
        <w:spacing w:after="0" w:line="240" w:lineRule="auto"/>
        <w:jc w:val="both"/>
        <w:rPr>
          <w:rFonts w:ascii="Times New Roman" w:eastAsia="Times New Roman" w:hAnsi="Times New Roman" w:cs="Times New Roman"/>
          <w:bCs/>
          <w:noProof/>
          <w:sz w:val="24"/>
          <w:szCs w:val="24"/>
          <w:lang w:val="en" w:eastAsia="ar-SA"/>
        </w:rPr>
      </w:pP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bCs/>
          <w:noProof/>
          <w:sz w:val="24"/>
          <w:szCs w:val="24"/>
          <w:lang w:val="en-US" w:eastAsia="ar-SA"/>
        </w:rPr>
        <w:t>ERC pr</w:t>
      </w:r>
      <w:r>
        <w:rPr>
          <w:rFonts w:ascii="Times New Roman" w:eastAsia="Times New Roman" w:hAnsi="Times New Roman" w:cs="Times New Roman"/>
          <w:bCs/>
          <w:noProof/>
          <w:sz w:val="24"/>
          <w:szCs w:val="24"/>
          <w:lang w:val="en-US" w:eastAsia="ar-SA"/>
        </w:rPr>
        <w:t xml:space="preserve">ojects are not only producing and disseminating a very substantial number of research findings, but are producing a </w:t>
      </w:r>
      <w:r>
        <w:rPr>
          <w:rFonts w:ascii="Times New Roman" w:eastAsia="Times New Roman" w:hAnsi="Times New Roman" w:cs="Times New Roman"/>
          <w:b/>
          <w:bCs/>
          <w:noProof/>
          <w:sz w:val="24"/>
          <w:szCs w:val="24"/>
          <w:lang w:val="en-US" w:eastAsia="ar-SA"/>
        </w:rPr>
        <w:t xml:space="preserve">substantial number of the most significant and high impact research findings </w:t>
      </w:r>
      <w:r>
        <w:rPr>
          <w:rFonts w:ascii="Times New Roman" w:eastAsia="Times New Roman" w:hAnsi="Times New Roman" w:cs="Times New Roman"/>
          <w:bCs/>
          <w:noProof/>
          <w:sz w:val="24"/>
          <w:szCs w:val="24"/>
          <w:lang w:val="en-US" w:eastAsia="ar-SA"/>
        </w:rPr>
        <w:t>worldwide.</w:t>
      </w:r>
    </w:p>
    <w:p w:rsidR="00E535A0" w:rsidRDefault="00C953F5">
      <w:pPr>
        <w:spacing w:after="0" w:line="240" w:lineRule="auto"/>
        <w:jc w:val="both"/>
        <w:rPr>
          <w:rFonts w:ascii="Times New Roman" w:hAnsi="Times New Roman" w:cs="Times New Roman"/>
          <w:bCs/>
          <w:iCs/>
          <w:noProof/>
          <w:sz w:val="24"/>
          <w:szCs w:val="24"/>
          <w:lang w:val="en-US"/>
        </w:rPr>
      </w:pPr>
      <w:r>
        <w:rPr>
          <w:rFonts w:ascii="Times New Roman" w:hAnsi="Times New Roman" w:cs="Times New Roman"/>
          <w:bCs/>
          <w:iCs/>
          <w:noProof/>
          <w:sz w:val="24"/>
          <w:szCs w:val="24"/>
        </w:rPr>
        <w:t xml:space="preserve">ERC grantees have an outstanding publication record </w:t>
      </w:r>
      <w:r>
        <w:rPr>
          <w:rFonts w:ascii="Times New Roman" w:hAnsi="Times New Roman" w:cs="Times New Roman"/>
          <w:bCs/>
          <w:iCs/>
          <w:noProof/>
          <w:sz w:val="24"/>
          <w:szCs w:val="24"/>
        </w:rPr>
        <w:t>with high scientific impact, notably in terms of the number of publications they have produced which are in the top 1% and 10% of the most highly cited publications in the world. Moreover, among the most cited publications arising from ERC funding, there a</w:t>
      </w:r>
      <w:r>
        <w:rPr>
          <w:rFonts w:ascii="Times New Roman" w:hAnsi="Times New Roman" w:cs="Times New Roman"/>
          <w:bCs/>
          <w:iCs/>
          <w:noProof/>
          <w:sz w:val="24"/>
          <w:szCs w:val="24"/>
        </w:rPr>
        <w:t xml:space="preserve">re already a significant number that have been recognised as landmark contributions to science including </w:t>
      </w:r>
      <w:r>
        <w:rPr>
          <w:rFonts w:ascii="Times New Roman" w:hAnsi="Times New Roman" w:cs="Times New Roman"/>
          <w:bCs/>
          <w:iCs/>
          <w:noProof/>
          <w:sz w:val="24"/>
          <w:szCs w:val="24"/>
          <w:lang w:val="en-US"/>
        </w:rPr>
        <w:t>the first paper to clearly show that there are different sources of myeloid cells in the body</w:t>
      </w:r>
      <w:r>
        <w:rPr>
          <w:rFonts w:ascii="Times New Roman" w:hAnsi="Times New Roman" w:cs="Times New Roman"/>
          <w:bCs/>
          <w:iCs/>
          <w:noProof/>
          <w:sz w:val="24"/>
          <w:szCs w:val="24"/>
        </w:rPr>
        <w:t xml:space="preserve"> </w:t>
      </w:r>
      <w:r>
        <w:rPr>
          <w:rFonts w:ascii="Times New Roman" w:hAnsi="Times New Roman" w:cs="Times New Roman"/>
          <w:bCs/>
          <w:iCs/>
          <w:noProof/>
          <w:sz w:val="24"/>
          <w:szCs w:val="24"/>
          <w:lang w:val="en-US"/>
        </w:rPr>
        <w:t>which will eventually result in new therapeutic approache</w:t>
      </w:r>
      <w:r>
        <w:rPr>
          <w:rFonts w:ascii="Times New Roman" w:hAnsi="Times New Roman" w:cs="Times New Roman"/>
          <w:bCs/>
          <w:iCs/>
          <w:noProof/>
          <w:sz w:val="24"/>
          <w:szCs w:val="24"/>
          <w:lang w:val="en-US"/>
        </w:rPr>
        <w:t xml:space="preserve">s for multiple diseases and a </w:t>
      </w:r>
      <w:r>
        <w:rPr>
          <w:rFonts w:ascii="Times New Roman" w:hAnsi="Times New Roman" w:cs="Times New Roman"/>
          <w:bCs/>
          <w:iCs/>
          <w:noProof/>
          <w:sz w:val="24"/>
          <w:szCs w:val="24"/>
        </w:rPr>
        <w:t>“paradigm shattering” improvement in the efficiency of dye-sensitized solar cells</w:t>
      </w:r>
      <w:r>
        <w:rPr>
          <w:rFonts w:ascii="Times New Roman" w:hAnsi="Times New Roman" w:cs="Times New Roman"/>
          <w:bCs/>
          <w:iCs/>
          <w:noProof/>
          <w:sz w:val="24"/>
          <w:szCs w:val="24"/>
          <w:lang w:val="en-US"/>
        </w:rPr>
        <w:t xml:space="preserve">, </w:t>
      </w:r>
      <w:r>
        <w:rPr>
          <w:rFonts w:ascii="Times New Roman" w:hAnsi="Times New Roman" w:cs="Times New Roman"/>
          <w:bCs/>
          <w:iCs/>
          <w:noProof/>
          <w:sz w:val="24"/>
          <w:szCs w:val="24"/>
        </w:rPr>
        <w:t xml:space="preserve"> as well as work related to: </w:t>
      </w:r>
      <w:r>
        <w:rPr>
          <w:rFonts w:ascii="Times New Roman" w:hAnsi="Times New Roman" w:cs="Times New Roman"/>
          <w:bCs/>
          <w:iCs/>
          <w:noProof/>
          <w:sz w:val="24"/>
          <w:szCs w:val="24"/>
          <w:lang w:val="en-US"/>
        </w:rPr>
        <w:t>resistance to chemotherapy in cancer</w:t>
      </w:r>
      <w:r>
        <w:rPr>
          <w:rFonts w:ascii="Times New Roman" w:hAnsi="Times New Roman" w:cs="Times New Roman"/>
          <w:bCs/>
          <w:iCs/>
          <w:noProof/>
          <w:sz w:val="24"/>
          <w:szCs w:val="24"/>
        </w:rPr>
        <w:t xml:space="preserve">; </w:t>
      </w:r>
      <w:r>
        <w:rPr>
          <w:rFonts w:ascii="Times New Roman" w:hAnsi="Times New Roman" w:cs="Times New Roman"/>
          <w:bCs/>
          <w:iCs/>
          <w:noProof/>
          <w:sz w:val="24"/>
          <w:szCs w:val="24"/>
          <w:lang w:val="en-US"/>
        </w:rPr>
        <w:t>the discovery of the Higgs boson; the use of the new material</w:t>
      </w:r>
      <w:r>
        <w:rPr>
          <w:rFonts w:ascii="Times New Roman" w:eastAsia="Times New Roman" w:hAnsi="Times New Roman" w:cs="Times New Roman"/>
          <w:noProof/>
          <w:sz w:val="24"/>
          <w:szCs w:val="24"/>
          <w:lang w:val="en-US"/>
        </w:rPr>
        <w:t xml:space="preserve"> </w:t>
      </w:r>
      <w:r>
        <w:rPr>
          <w:rFonts w:ascii="Times New Roman" w:hAnsi="Times New Roman" w:cs="Times New Roman"/>
          <w:bCs/>
          <w:iCs/>
          <w:noProof/>
          <w:sz w:val="24"/>
          <w:szCs w:val="24"/>
          <w:lang w:val="en-US"/>
        </w:rPr>
        <w:t xml:space="preserve">graphene to </w:t>
      </w:r>
      <w:r>
        <w:rPr>
          <w:rFonts w:ascii="Times New Roman" w:hAnsi="Times New Roman" w:cs="Times New Roman"/>
          <w:bCs/>
          <w:iCs/>
          <w:noProof/>
          <w:sz w:val="24"/>
          <w:szCs w:val="24"/>
          <w:lang w:val="en-US"/>
        </w:rPr>
        <w:t>design a functional electronic device; and the discovery of Majorana fermions in superconductors.</w:t>
      </w:r>
    </w:p>
    <w:p w:rsidR="00E535A0" w:rsidRDefault="00E535A0">
      <w:pPr>
        <w:spacing w:after="0" w:line="240" w:lineRule="auto"/>
        <w:jc w:val="both"/>
        <w:rPr>
          <w:rFonts w:ascii="Times New Roman" w:eastAsia="Times New Roman" w:hAnsi="Times New Roman" w:cs="Times New Roman"/>
          <w:bCs/>
          <w:noProof/>
          <w:sz w:val="24"/>
          <w:szCs w:val="24"/>
          <w:lang w:val="en" w:eastAsia="ar-SA"/>
        </w:rPr>
      </w:pPr>
    </w:p>
    <w:p w:rsidR="00E535A0" w:rsidRDefault="00C953F5">
      <w:pPr>
        <w:spacing w:after="0" w:line="240" w:lineRule="auto"/>
        <w:jc w:val="both"/>
        <w:rPr>
          <w:rFonts w:ascii="Times New Roman" w:eastAsia="Times New Roman" w:hAnsi="Times New Roman" w:cs="Times New Roman"/>
          <w:bCs/>
          <w:noProof/>
          <w:sz w:val="24"/>
          <w:szCs w:val="24"/>
          <w:lang w:val="en" w:eastAsia="ar-SA"/>
        </w:rPr>
      </w:pPr>
      <w:r>
        <w:rPr>
          <w:rFonts w:ascii="Times New Roman" w:eastAsia="Times New Roman" w:hAnsi="Times New Roman" w:cs="Times New Roman"/>
          <w:bCs/>
          <w:noProof/>
          <w:sz w:val="24"/>
          <w:szCs w:val="24"/>
          <w:lang w:val="en" w:eastAsia="ar-SA"/>
        </w:rPr>
        <w:t>The ERC has carried out a number of bibliometric analyses of publications acknowledging ERC funding to try to ascertain their potential significance or impac</w:t>
      </w:r>
      <w:r>
        <w:rPr>
          <w:rFonts w:ascii="Times New Roman" w:eastAsia="Times New Roman" w:hAnsi="Times New Roman" w:cs="Times New Roman"/>
          <w:bCs/>
          <w:noProof/>
          <w:sz w:val="24"/>
          <w:szCs w:val="24"/>
          <w:lang w:val="en" w:eastAsia="ar-SA"/>
        </w:rPr>
        <w:t xml:space="preserve">t. One analysis, </w:t>
      </w:r>
      <w:r>
        <w:rPr>
          <w:rFonts w:ascii="Times New Roman" w:eastAsia="Times New Roman" w:hAnsi="Times New Roman" w:cs="Times New Roman"/>
          <w:noProof/>
          <w:sz w:val="24"/>
          <w:szCs w:val="24"/>
          <w:lang w:eastAsia="ar-SA"/>
        </w:rPr>
        <w:t xml:space="preserve">using the reported publications from the 314 completed projects which could be validated in </w:t>
      </w:r>
      <w:r>
        <w:rPr>
          <w:rFonts w:ascii="Times New Roman" w:eastAsia="Times New Roman" w:hAnsi="Times New Roman" w:cs="Times New Roman"/>
          <w:bCs/>
          <w:noProof/>
          <w:sz w:val="24"/>
          <w:szCs w:val="24"/>
          <w:lang w:val="en" w:eastAsia="ar-SA"/>
        </w:rPr>
        <w:t xml:space="preserve">the </w:t>
      </w:r>
      <w:r>
        <w:rPr>
          <w:rFonts w:ascii="Times New Roman" w:eastAsia="Times New Roman" w:hAnsi="Times New Roman" w:cs="Times New Roman"/>
          <w:noProof/>
          <w:sz w:val="24"/>
          <w:szCs w:val="24"/>
          <w:lang w:eastAsia="ar-SA"/>
        </w:rPr>
        <w:t xml:space="preserve">Scopus database </w:t>
      </w:r>
      <w:r>
        <w:rPr>
          <w:rFonts w:ascii="Times New Roman" w:eastAsia="Times New Roman" w:hAnsi="Times New Roman" w:cs="Times New Roman"/>
          <w:bCs/>
          <w:noProof/>
          <w:sz w:val="24"/>
          <w:szCs w:val="24"/>
          <w:lang w:val="en" w:eastAsia="ar-SA"/>
        </w:rPr>
        <w:t xml:space="preserve">showed that </w:t>
      </w:r>
      <w:r>
        <w:rPr>
          <w:rFonts w:ascii="Times New Roman" w:eastAsia="Times New Roman" w:hAnsi="Times New Roman" w:cs="Times New Roman"/>
          <w:b/>
          <w:bCs/>
          <w:noProof/>
          <w:sz w:val="24"/>
          <w:szCs w:val="24"/>
          <w:lang w:val="en" w:eastAsia="ar-SA"/>
        </w:rPr>
        <w:t>a significant proportion of ERC publications were in the top 1% most highly cited publications worldwide</w:t>
      </w:r>
      <w:r>
        <w:rPr>
          <w:rFonts w:ascii="Times New Roman" w:eastAsia="Times New Roman" w:hAnsi="Times New Roman" w:cs="Times New Roman"/>
          <w:noProof/>
          <w:sz w:val="24"/>
          <w:szCs w:val="24"/>
          <w:vertAlign w:val="superscript"/>
          <w:lang w:eastAsia="ar-SA"/>
        </w:rPr>
        <w:footnoteReference w:id="12"/>
      </w:r>
      <w:r>
        <w:rPr>
          <w:rFonts w:ascii="Times New Roman" w:eastAsia="Times New Roman" w:hAnsi="Times New Roman" w:cs="Times New Roman"/>
          <w:noProof/>
          <w:sz w:val="24"/>
          <w:szCs w:val="24"/>
          <w:lang w:eastAsia="ar-SA"/>
        </w:rPr>
        <w:t xml:space="preserve"> </w:t>
      </w:r>
      <w:r>
        <w:rPr>
          <w:rFonts w:ascii="Times New Roman" w:eastAsia="Times New Roman" w:hAnsi="Times New Roman" w:cs="Times New Roman"/>
          <w:bCs/>
          <w:noProof/>
          <w:sz w:val="24"/>
          <w:szCs w:val="24"/>
          <w:lang w:val="en" w:eastAsia="ar-SA"/>
        </w:rPr>
        <w:t>– see Tab</w:t>
      </w:r>
      <w:r>
        <w:rPr>
          <w:rFonts w:ascii="Times New Roman" w:eastAsia="Times New Roman" w:hAnsi="Times New Roman" w:cs="Times New Roman"/>
          <w:bCs/>
          <w:noProof/>
          <w:sz w:val="24"/>
          <w:szCs w:val="24"/>
          <w:lang w:val="en" w:eastAsia="ar-SA"/>
        </w:rPr>
        <w:t>le below.</w:t>
      </w:r>
    </w:p>
    <w:p w:rsidR="00E535A0" w:rsidRDefault="00E535A0">
      <w:pPr>
        <w:spacing w:after="0" w:line="240" w:lineRule="auto"/>
        <w:jc w:val="both"/>
        <w:rPr>
          <w:rFonts w:ascii="Times New Roman" w:eastAsia="Times New Roman" w:hAnsi="Times New Roman" w:cs="Times New Roman"/>
          <w:bCs/>
          <w:noProof/>
          <w:sz w:val="24"/>
          <w:szCs w:val="24"/>
          <w:lang w:val="en"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de-DE" w:eastAsia="de-DE"/>
        </w:rPr>
        <w:drawing>
          <wp:inline distT="0" distB="0" distL="0" distR="0">
            <wp:extent cx="5437505" cy="18351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7505" cy="1835150"/>
                    </a:xfrm>
                    <a:prstGeom prst="rect">
                      <a:avLst/>
                    </a:prstGeom>
                    <a:noFill/>
                    <a:ln>
                      <a:noFill/>
                    </a:ln>
                  </pic:spPr>
                </pic:pic>
              </a:graphicData>
            </a:graphic>
          </wp:inline>
        </w:drawing>
      </w:r>
    </w:p>
    <w:p w:rsidR="00E535A0" w:rsidRDefault="00C953F5">
      <w:pPr>
        <w:spacing w:after="0" w:line="240" w:lineRule="auto"/>
        <w:jc w:val="center"/>
        <w:rPr>
          <w:rFonts w:ascii="Times New Roman" w:eastAsia="Times New Roman" w:hAnsi="Times New Roman" w:cs="Times New Roman"/>
          <w:b/>
          <w:bCs/>
          <w:noProof/>
          <w:szCs w:val="24"/>
          <w:lang w:eastAsia="ar-SA"/>
        </w:rPr>
      </w:pPr>
      <w:r>
        <w:rPr>
          <w:rFonts w:ascii="Times New Roman" w:eastAsia="Times New Roman" w:hAnsi="Times New Roman" w:cs="Times New Roman"/>
          <w:b/>
          <w:bCs/>
          <w:noProof/>
          <w:szCs w:val="24"/>
          <w:lang w:eastAsia="ar-SA"/>
        </w:rPr>
        <w:t>Citation percentiles of publications reported by completed ERC projects (Scopus)</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E535A0">
      <w:pPr>
        <w:spacing w:line="240" w:lineRule="auto"/>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noProof/>
          <w:sz w:val="24"/>
          <w:szCs w:val="24"/>
          <w:lang w:eastAsia="ar-SA"/>
        </w:rPr>
        <w:t xml:space="preserve">A second analysis came to a similar conclusion. The analysis, this time </w:t>
      </w:r>
      <w:r>
        <w:rPr>
          <w:rFonts w:ascii="Times New Roman" w:eastAsia="Times New Roman" w:hAnsi="Times New Roman" w:cs="Times New Roman"/>
          <w:bCs/>
          <w:noProof/>
          <w:sz w:val="24"/>
          <w:szCs w:val="24"/>
          <w:lang w:val="en" w:eastAsia="ar-SA"/>
        </w:rPr>
        <w:t xml:space="preserve">using the methodology of the US National Science Foundation and based on all the </w:t>
      </w:r>
      <w:r>
        <w:rPr>
          <w:rFonts w:ascii="Times New Roman" w:eastAsia="Times New Roman" w:hAnsi="Times New Roman" w:cs="Times New Roman"/>
          <w:bCs/>
          <w:noProof/>
          <w:sz w:val="24"/>
          <w:szCs w:val="24"/>
          <w:lang w:val="en" w:eastAsia="ar-SA"/>
        </w:rPr>
        <w:t>publications acknowledging ERC funding and recorded in the Web of Science database, showed that overall 12% of these publications were in the top 1% most highly cited publications world wide – see Table  below.</w:t>
      </w:r>
      <w:r>
        <w:rPr>
          <w:rFonts w:ascii="Times New Roman" w:eastAsia="Times New Roman" w:hAnsi="Times New Roman" w:cs="Times New Roman"/>
          <w:noProof/>
          <w:sz w:val="24"/>
          <w:szCs w:val="24"/>
          <w:lang w:eastAsia="ar-SA"/>
        </w:rPr>
        <w:t xml:space="preserve"> On the same basis, </w:t>
      </w:r>
      <w:r>
        <w:rPr>
          <w:rFonts w:ascii="Times New Roman" w:eastAsia="Times New Roman" w:hAnsi="Times New Roman" w:cs="Times New Roman"/>
          <w:bCs/>
          <w:noProof/>
          <w:sz w:val="24"/>
          <w:szCs w:val="24"/>
          <w:lang w:eastAsia="ar-SA"/>
        </w:rPr>
        <w:t>the number of the publicat</w:t>
      </w:r>
      <w:r>
        <w:rPr>
          <w:rFonts w:ascii="Times New Roman" w:eastAsia="Times New Roman" w:hAnsi="Times New Roman" w:cs="Times New Roman"/>
          <w:bCs/>
          <w:noProof/>
          <w:sz w:val="24"/>
          <w:szCs w:val="24"/>
          <w:lang w:eastAsia="ar-SA"/>
        </w:rPr>
        <w:t>ions in the Top 10% was 855 out of 1996 or 43%.</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noProof/>
          <w:sz w:val="24"/>
          <w:szCs w:val="24"/>
          <w:lang w:val="de-DE" w:eastAsia="de-DE"/>
        </w:rPr>
        <w:drawing>
          <wp:inline distT="0" distB="0" distL="0" distR="0">
            <wp:extent cx="5730240" cy="2853055"/>
            <wp:effectExtent l="0" t="0" r="3810" b="4445"/>
            <wp:docPr id="104" name="Picture 104" descr="cid:image001.png@01CFD691.078A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CFD691.078A747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730240" cy="2853055"/>
                    </a:xfrm>
                    <a:prstGeom prst="rect">
                      <a:avLst/>
                    </a:prstGeom>
                    <a:noFill/>
                    <a:ln>
                      <a:noFill/>
                    </a:ln>
                  </pic:spPr>
                </pic:pic>
              </a:graphicData>
            </a:graphic>
          </wp:inline>
        </w:drawing>
      </w:r>
    </w:p>
    <w:p w:rsidR="00E535A0" w:rsidRDefault="00C953F5">
      <w:pPr>
        <w:spacing w:after="0" w:line="240" w:lineRule="auto"/>
        <w:jc w:val="center"/>
        <w:rPr>
          <w:rFonts w:ascii="Times New Roman" w:eastAsia="Times New Roman" w:hAnsi="Times New Roman" w:cs="Times New Roman"/>
          <w:b/>
          <w:bCs/>
          <w:noProof/>
          <w:szCs w:val="24"/>
          <w:lang w:eastAsia="ar-SA"/>
        </w:rPr>
      </w:pPr>
      <w:r>
        <w:rPr>
          <w:rFonts w:ascii="Times New Roman" w:eastAsia="Times New Roman" w:hAnsi="Times New Roman" w:cs="Times New Roman"/>
          <w:b/>
          <w:bCs/>
          <w:noProof/>
          <w:szCs w:val="24"/>
          <w:lang w:eastAsia="ar-SA"/>
        </w:rPr>
        <w:t>Citation percentiles of publications acknowledging ERC funding (Web of Science)</w:t>
      </w:r>
      <w:r>
        <w:rPr>
          <w:rFonts w:ascii="Times New Roman" w:eastAsia="Times New Roman" w:hAnsi="Times New Roman" w:cs="Times New Roman"/>
          <w:b/>
          <w:bCs/>
          <w:noProof/>
          <w:szCs w:val="24"/>
          <w:vertAlign w:val="superscript"/>
          <w:lang w:eastAsia="ar-SA"/>
        </w:rPr>
        <w:footnoteReference w:id="13"/>
      </w:r>
    </w:p>
    <w:p w:rsidR="00E535A0" w:rsidRDefault="00E535A0">
      <w:pPr>
        <w:spacing w:after="0" w:line="240" w:lineRule="auto"/>
        <w:jc w:val="both"/>
        <w:rPr>
          <w:rFonts w:ascii="Times New Roman" w:eastAsia="Times New Roman" w:hAnsi="Times New Roman" w:cs="Times New Roman"/>
          <w:bCs/>
          <w:noProof/>
          <w:sz w:val="24"/>
          <w:szCs w:val="24"/>
          <w:lang w:val="en-US" w:eastAsia="ar-SA"/>
        </w:rPr>
      </w:pP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bCs/>
          <w:noProof/>
          <w:sz w:val="24"/>
          <w:szCs w:val="24"/>
          <w:lang w:val="en-US" w:eastAsia="ar-SA"/>
        </w:rPr>
        <w:t xml:space="preserve">What both of these analyses show, using different methods and data bases, is that a substantial fraction of ERC funded </w:t>
      </w:r>
      <w:r>
        <w:rPr>
          <w:rFonts w:ascii="Times New Roman" w:eastAsia="Times New Roman" w:hAnsi="Times New Roman" w:cs="Times New Roman"/>
          <w:bCs/>
          <w:noProof/>
          <w:sz w:val="24"/>
          <w:szCs w:val="24"/>
          <w:lang w:val="en-US" w:eastAsia="ar-SA"/>
        </w:rPr>
        <w:t>articles are among the most highly cited publications worldwide, including in the most significant top 1% category.</w:t>
      </w:r>
    </w:p>
    <w:p w:rsidR="00E535A0" w:rsidRDefault="00E535A0">
      <w:pPr>
        <w:spacing w:after="0" w:line="240" w:lineRule="auto"/>
        <w:jc w:val="both"/>
        <w:rPr>
          <w:rFonts w:ascii="Times New Roman" w:eastAsia="Times New Roman" w:hAnsi="Times New Roman" w:cs="Times New Roman"/>
          <w:bCs/>
          <w:noProof/>
          <w:sz w:val="24"/>
          <w:szCs w:val="24"/>
          <w:lang w:val="en-US" w:eastAsia="ar-SA"/>
        </w:rPr>
      </w:pP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bCs/>
          <w:noProof/>
          <w:sz w:val="24"/>
          <w:szCs w:val="24"/>
          <w:lang w:eastAsia="ar-SA"/>
        </w:rPr>
        <w:t>There are also already many discoveries from ERC funded projects which have been hailed as "landmark" or "exceptional advances" for example</w:t>
      </w:r>
      <w:r>
        <w:rPr>
          <w:rFonts w:ascii="Times New Roman" w:eastAsia="Times New Roman" w:hAnsi="Times New Roman" w:cs="Times New Roman"/>
          <w:bCs/>
          <w:noProof/>
          <w:sz w:val="24"/>
          <w:szCs w:val="24"/>
          <w:lang w:eastAsia="ar-SA"/>
        </w:rPr>
        <w:t xml:space="preserve">, selected scientific publications acknowledging ERC-funding which have been featured by editorial boards of scientific journals or highlighted in post-peer review systems such as </w:t>
      </w:r>
      <w:r>
        <w:rPr>
          <w:rFonts w:ascii="Times New Roman" w:eastAsia="Times New Roman" w:hAnsi="Times New Roman" w:cs="Times New Roman"/>
          <w:bCs/>
          <w:i/>
          <w:noProof/>
          <w:sz w:val="24"/>
          <w:szCs w:val="24"/>
          <w:lang w:eastAsia="ar-SA"/>
        </w:rPr>
        <w:t>“Faculty of 1000”</w:t>
      </w:r>
      <w:r>
        <w:rPr>
          <w:rFonts w:ascii="Times New Roman" w:eastAsia="Times New Roman" w:hAnsi="Times New Roman" w:cs="Times New Roman"/>
          <w:bCs/>
          <w:noProof/>
          <w:sz w:val="24"/>
          <w:szCs w:val="24"/>
          <w:lang w:eastAsia="ar-SA"/>
        </w:rPr>
        <w:t>.</w:t>
      </w:r>
    </w:p>
    <w:p w:rsidR="00E535A0" w:rsidRDefault="00E535A0">
      <w:pPr>
        <w:spacing w:after="0" w:line="240" w:lineRule="auto"/>
        <w:jc w:val="both"/>
        <w:rPr>
          <w:rFonts w:ascii="Times New Roman" w:eastAsia="Times New Roman" w:hAnsi="Times New Roman" w:cs="Times New Roman"/>
          <w:bCs/>
          <w:noProof/>
          <w:sz w:val="24"/>
          <w:szCs w:val="24"/>
          <w:lang w:val="en-US" w:eastAsia="ar-SA"/>
        </w:rPr>
      </w:pPr>
    </w:p>
    <w:p w:rsidR="00E535A0" w:rsidRDefault="00C953F5">
      <w:pPr>
        <w:spacing w:after="0" w:line="240" w:lineRule="auto"/>
        <w:jc w:val="both"/>
        <w:rPr>
          <w:rFonts w:ascii="Times New Roman" w:eastAsia="Times New Roman" w:hAnsi="Times New Roman" w:cs="Times New Roman"/>
          <w:bCs/>
          <w:noProof/>
          <w:sz w:val="24"/>
          <w:szCs w:val="24"/>
          <w:lang w:val="en-US" w:eastAsia="ar-SA"/>
        </w:rPr>
      </w:pPr>
      <w:r>
        <w:rPr>
          <w:rFonts w:ascii="Times New Roman" w:eastAsia="Times New Roman" w:hAnsi="Times New Roman" w:cs="Times New Roman"/>
          <w:bCs/>
          <w:noProof/>
          <w:sz w:val="24"/>
          <w:szCs w:val="24"/>
          <w:lang w:eastAsia="ar-SA"/>
        </w:rPr>
        <w:t>I</w:t>
      </w:r>
      <w:r>
        <w:rPr>
          <w:rFonts w:ascii="Times New Roman" w:eastAsia="Times New Roman" w:hAnsi="Times New Roman" w:cs="Times New Roman"/>
          <w:bCs/>
          <w:noProof/>
          <w:sz w:val="24"/>
          <w:szCs w:val="24"/>
          <w:lang w:val="en-US" w:eastAsia="ar-SA"/>
        </w:rPr>
        <w:t xml:space="preserve">n only seven years a </w:t>
      </w:r>
      <w:r>
        <w:rPr>
          <w:rFonts w:ascii="Times New Roman" w:eastAsia="Times New Roman" w:hAnsi="Times New Roman" w:cs="Times New Roman"/>
          <w:b/>
          <w:bCs/>
          <w:noProof/>
          <w:sz w:val="24"/>
          <w:szCs w:val="24"/>
          <w:lang w:val="en-US" w:eastAsia="ar-SA"/>
        </w:rPr>
        <w:t>significant fraction of the leadin</w:t>
      </w:r>
      <w:r>
        <w:rPr>
          <w:rFonts w:ascii="Times New Roman" w:eastAsia="Times New Roman" w:hAnsi="Times New Roman" w:cs="Times New Roman"/>
          <w:b/>
          <w:bCs/>
          <w:noProof/>
          <w:sz w:val="24"/>
          <w:szCs w:val="24"/>
          <w:lang w:val="en-US" w:eastAsia="ar-SA"/>
        </w:rPr>
        <w:t>g researchers in Europe</w:t>
      </w:r>
      <w:r>
        <w:rPr>
          <w:rFonts w:ascii="Times New Roman" w:eastAsia="Times New Roman" w:hAnsi="Times New Roman" w:cs="Times New Roman"/>
          <w:bCs/>
          <w:noProof/>
          <w:sz w:val="24"/>
          <w:szCs w:val="24"/>
          <w:lang w:val="en-US" w:eastAsia="ar-SA"/>
        </w:rPr>
        <w:t xml:space="preserve"> have applied to and been successful in the ERC calls.</w:t>
      </w: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noProof/>
          <w:sz w:val="24"/>
          <w:szCs w:val="24"/>
          <w:lang w:eastAsia="ar-SA"/>
        </w:rPr>
        <w:t>To analyse whether leading researchers in Europe have applied for ERC funding schemes, the ERC identified over 14,000 individuals considered from 13 selected groups including hig</w:t>
      </w:r>
      <w:r>
        <w:rPr>
          <w:rFonts w:ascii="Times New Roman" w:eastAsia="Times New Roman" w:hAnsi="Times New Roman" w:cs="Times New Roman"/>
          <w:noProof/>
          <w:sz w:val="24"/>
          <w:szCs w:val="24"/>
          <w:lang w:eastAsia="ar-SA"/>
        </w:rPr>
        <w:t>hly-cited scientists (Thomson Reuters, ISI), elected European foreign associates of US National Academies, laureates of selected prestigious national research prizes and participants and chairs at Gordon Conferences, and then including only researchers aff</w:t>
      </w:r>
      <w:r>
        <w:rPr>
          <w:rFonts w:ascii="Times New Roman" w:eastAsia="Times New Roman" w:hAnsi="Times New Roman" w:cs="Times New Roman"/>
          <w:noProof/>
          <w:sz w:val="24"/>
          <w:szCs w:val="24"/>
          <w:lang w:eastAsia="ar-SA"/>
        </w:rPr>
        <w:t xml:space="preserve">iliated with a European institution. These were then matched with a database of all ERC applicants since 2007. </w:t>
      </w:r>
      <w:r>
        <w:rPr>
          <w:rFonts w:ascii="Times New Roman" w:eastAsia="Times New Roman" w:hAnsi="Times New Roman" w:cs="Times New Roman"/>
          <w:bCs/>
          <w:noProof/>
          <w:sz w:val="24"/>
          <w:szCs w:val="24"/>
          <w:lang w:eastAsia="ar-SA"/>
        </w:rPr>
        <w:t xml:space="preserve">Bibliometric research has found over many years that a relatively small group of elite researchers publish the majority of the most highly cited </w:t>
      </w:r>
      <w:r>
        <w:rPr>
          <w:rFonts w:ascii="Times New Roman" w:eastAsia="Times New Roman" w:hAnsi="Times New Roman" w:cs="Times New Roman"/>
          <w:bCs/>
          <w:noProof/>
          <w:sz w:val="24"/>
          <w:szCs w:val="24"/>
          <w:lang w:eastAsia="ar-SA"/>
        </w:rPr>
        <w:t>scientific publications</w:t>
      </w:r>
      <w:r>
        <w:rPr>
          <w:rFonts w:ascii="Times New Roman" w:eastAsia="Times New Roman" w:hAnsi="Times New Roman" w:cs="Times New Roman"/>
          <w:bCs/>
          <w:noProof/>
          <w:sz w:val="24"/>
          <w:szCs w:val="24"/>
          <w:vertAlign w:val="superscript"/>
          <w:lang w:eastAsia="ar-SA"/>
        </w:rPr>
        <w:footnoteReference w:id="14"/>
      </w:r>
      <w:r>
        <w:rPr>
          <w:rFonts w:ascii="Times New Roman" w:eastAsia="Times New Roman" w:hAnsi="Times New Roman" w:cs="Times New Roman"/>
          <w:bCs/>
          <w:noProof/>
          <w:sz w:val="24"/>
          <w:szCs w:val="24"/>
          <w:lang w:eastAsia="ar-SA"/>
        </w:rPr>
        <w:t xml:space="preserve">. </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This analysis showed that </w:t>
      </w:r>
      <w:r>
        <w:rPr>
          <w:rFonts w:ascii="Times New Roman" w:eastAsia="Times New Roman" w:hAnsi="Times New Roman" w:cs="Times New Roman"/>
          <w:bCs/>
          <w:noProof/>
          <w:sz w:val="24"/>
          <w:szCs w:val="24"/>
          <w:lang w:eastAsia="ar-SA"/>
        </w:rPr>
        <w:t>around a quarter of these "leading" researchers have applied for ERC funding schemes.</w:t>
      </w:r>
      <w:r>
        <w:rPr>
          <w:rFonts w:ascii="Times New Roman" w:eastAsia="Times New Roman" w:hAnsi="Times New Roman" w:cs="Times New Roman"/>
          <w:noProof/>
          <w:sz w:val="24"/>
          <w:szCs w:val="24"/>
          <w:lang w:eastAsia="ar-SA"/>
        </w:rPr>
        <w:t xml:space="preserve"> Overall around 43% of the applicants from this group were funded by the ERC (some after multiple applications) meani</w:t>
      </w:r>
      <w:r>
        <w:rPr>
          <w:rFonts w:ascii="Times New Roman" w:eastAsia="Times New Roman" w:hAnsi="Times New Roman" w:cs="Times New Roman"/>
          <w:noProof/>
          <w:sz w:val="24"/>
          <w:szCs w:val="24"/>
          <w:lang w:eastAsia="ar-SA"/>
        </w:rPr>
        <w:t>ng that 12% of the identified leading researchers have been funded by the ERC (1,647 out of 14,278). In addition, the analysis identified 1000 leading researchers from CZ, HU, PL, RO and SI (200 from each). O</w:t>
      </w:r>
      <w:r>
        <w:rPr>
          <w:rFonts w:ascii="Times New Roman" w:eastAsia="Times New Roman" w:hAnsi="Times New Roman" w:cs="Times New Roman"/>
          <w:bCs/>
          <w:noProof/>
          <w:sz w:val="24"/>
          <w:szCs w:val="24"/>
          <w:lang w:eastAsia="ar-SA"/>
        </w:rPr>
        <w:t xml:space="preserve">nly 10% of the "leading" researchers identified </w:t>
      </w:r>
      <w:r>
        <w:rPr>
          <w:rFonts w:ascii="Times New Roman" w:eastAsia="Times New Roman" w:hAnsi="Times New Roman" w:cs="Times New Roman"/>
          <w:bCs/>
          <w:noProof/>
          <w:sz w:val="24"/>
          <w:szCs w:val="24"/>
          <w:lang w:eastAsia="ar-SA"/>
        </w:rPr>
        <w:t>from these less-performing Member States have applied for ERC funding schemes.</w:t>
      </w: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Cs/>
          <w:noProof/>
          <w:sz w:val="24"/>
          <w:szCs w:val="24"/>
          <w:lang w:eastAsia="ar-SA"/>
        </w:rPr>
        <w:t xml:space="preserve">Successful applicants include up to now </w:t>
      </w:r>
      <w:r>
        <w:rPr>
          <w:rFonts w:ascii="Times New Roman" w:eastAsia="Times New Roman" w:hAnsi="Times New Roman" w:cs="Times New Roman"/>
          <w:b/>
          <w:bCs/>
          <w:noProof/>
          <w:sz w:val="24"/>
          <w:szCs w:val="24"/>
          <w:lang w:eastAsia="ar-SA"/>
        </w:rPr>
        <w:t>11 Nobel laureates</w:t>
      </w:r>
      <w:r>
        <w:rPr>
          <w:rFonts w:ascii="Times New Roman" w:eastAsia="Times New Roman" w:hAnsi="Times New Roman" w:cs="Times New Roman"/>
          <w:b/>
          <w:bCs/>
          <w:noProof/>
          <w:sz w:val="24"/>
          <w:szCs w:val="24"/>
          <w:vertAlign w:val="superscript"/>
          <w:lang w:eastAsia="ar-SA"/>
        </w:rPr>
        <w:footnoteReference w:id="15"/>
      </w:r>
      <w:r>
        <w:rPr>
          <w:rFonts w:ascii="Times New Roman" w:eastAsia="Times New Roman" w:hAnsi="Times New Roman" w:cs="Times New Roman"/>
          <w:b/>
          <w:bCs/>
          <w:noProof/>
          <w:sz w:val="24"/>
          <w:szCs w:val="24"/>
          <w:lang w:eastAsia="ar-SA"/>
        </w:rPr>
        <w:t>, five Fields Medallists</w:t>
      </w:r>
      <w:r>
        <w:rPr>
          <w:rFonts w:ascii="Times New Roman" w:eastAsia="Times New Roman" w:hAnsi="Times New Roman" w:cs="Times New Roman"/>
          <w:bCs/>
          <w:noProof/>
          <w:sz w:val="24"/>
          <w:szCs w:val="24"/>
          <w:vertAlign w:val="superscript"/>
          <w:lang w:eastAsia="ar-SA"/>
        </w:rPr>
        <w:footnoteReference w:id="16"/>
      </w:r>
      <w:r>
        <w:rPr>
          <w:rFonts w:ascii="Times New Roman" w:eastAsia="Times New Roman" w:hAnsi="Times New Roman" w:cs="Times New Roman"/>
          <w:bCs/>
          <w:noProof/>
          <w:sz w:val="24"/>
          <w:szCs w:val="24"/>
          <w:lang w:eastAsia="ar-SA"/>
        </w:rPr>
        <w:t xml:space="preserve"> and the winners of many more internationally recognised prizes.</w:t>
      </w:r>
      <w:r>
        <w:rPr>
          <w:rFonts w:ascii="Times New Roman" w:eastAsia="Times New Roman" w:hAnsi="Times New Roman" w:cs="Times New Roman"/>
          <w:noProof/>
          <w:sz w:val="24"/>
          <w:szCs w:val="24"/>
          <w:lang w:eastAsia="ar-SA"/>
        </w:rPr>
        <w:t xml:space="preserve"> Five of the Nobel laureates were funded by the ERC before receiving the Nobel Prize. The ERC has also received four proposals from Nobel Prize winners which it has not funded.</w:t>
      </w:r>
    </w:p>
    <w:p w:rsidR="00E535A0" w:rsidRDefault="00E535A0">
      <w:pPr>
        <w:suppressAutoHyphens/>
        <w:spacing w:after="0" w:line="240" w:lineRule="auto"/>
        <w:jc w:val="both"/>
        <w:rPr>
          <w:rFonts w:ascii="Times New Roman" w:eastAsia="Times New Roman" w:hAnsi="Times New Roman" w:cs="Times New Roman"/>
          <w:bCs/>
          <w:iCs/>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bCs/>
          <w:noProof/>
          <w:sz w:val="24"/>
          <w:szCs w:val="24"/>
          <w:lang w:val="en-US" w:eastAsia="ar-SA"/>
        </w:rPr>
      </w:pPr>
      <w:r>
        <w:rPr>
          <w:rFonts w:ascii="Times New Roman" w:hAnsi="Times New Roman" w:cs="Times New Roman"/>
          <w:bCs/>
          <w:noProof/>
          <w:sz w:val="24"/>
          <w:szCs w:val="24"/>
        </w:rPr>
        <w:t>Over 4 300 world class starting and advanced researchers have been funded with</w:t>
      </w:r>
      <w:r>
        <w:rPr>
          <w:rFonts w:ascii="Times New Roman" w:hAnsi="Times New Roman" w:cs="Times New Roman"/>
          <w:bCs/>
          <w:noProof/>
          <w:sz w:val="24"/>
          <w:szCs w:val="24"/>
        </w:rPr>
        <w:t xml:space="preserve"> 63 different nationalities.</w:t>
      </w:r>
      <w:r>
        <w:rPr>
          <w:rFonts w:ascii="Times New Roman" w:eastAsia="Times New Roman" w:hAnsi="Times New Roman" w:cs="Times New Roman"/>
          <w:bCs/>
          <w:iCs/>
          <w:noProof/>
          <w:sz w:val="24"/>
          <w:szCs w:val="24"/>
          <w:lang w:eastAsia="de-DE"/>
        </w:rPr>
        <w:t xml:space="preserve"> It should be no surprise that many of Europe’s top researchers are already at some of Europe’s top research institutions. On the other hand, the fact that </w:t>
      </w:r>
      <w:r>
        <w:rPr>
          <w:rFonts w:ascii="Times New Roman" w:eastAsia="Times New Roman" w:hAnsi="Times New Roman" w:cs="Times New Roman"/>
          <w:bCs/>
          <w:noProof/>
          <w:sz w:val="24"/>
          <w:szCs w:val="24"/>
          <w:lang w:val="en-US" w:eastAsia="ar-SA"/>
        </w:rPr>
        <w:t>60% of the grants have gone to a further 550+ research institutions (ove</w:t>
      </w:r>
      <w:r>
        <w:rPr>
          <w:rFonts w:ascii="Times New Roman" w:eastAsia="Times New Roman" w:hAnsi="Times New Roman" w:cs="Times New Roman"/>
          <w:bCs/>
          <w:noProof/>
          <w:sz w:val="24"/>
          <w:szCs w:val="24"/>
          <w:lang w:val="en-US" w:eastAsia="ar-SA"/>
        </w:rPr>
        <w:t xml:space="preserve">r 200 of which host only one ERC grant) could be seen as evidence that </w:t>
      </w:r>
      <w:r>
        <w:rPr>
          <w:rFonts w:ascii="Times New Roman" w:eastAsia="Times New Roman" w:hAnsi="Times New Roman" w:cs="Times New Roman"/>
          <w:b/>
          <w:bCs/>
          <w:noProof/>
          <w:sz w:val="24"/>
          <w:szCs w:val="24"/>
          <w:lang w:val="en-US" w:eastAsia="ar-SA"/>
        </w:rPr>
        <w:t xml:space="preserve">the ERC can </w:t>
      </w:r>
      <w:r>
        <w:rPr>
          <w:rFonts w:ascii="Times New Roman" w:eastAsia="Times New Roman" w:hAnsi="Times New Roman" w:cs="Times New Roman"/>
          <w:b/>
          <w:bCs/>
          <w:noProof/>
          <w:sz w:val="24"/>
          <w:szCs w:val="24"/>
          <w:lang w:eastAsia="ar-SA"/>
        </w:rPr>
        <w:t xml:space="preserve">recognise </w:t>
      </w:r>
      <w:r>
        <w:rPr>
          <w:rFonts w:ascii="Times New Roman" w:eastAsia="Times New Roman" w:hAnsi="Times New Roman" w:cs="Times New Roman"/>
          <w:b/>
          <w:bCs/>
          <w:noProof/>
          <w:sz w:val="24"/>
          <w:szCs w:val="24"/>
          <w:lang w:val="en-US" w:eastAsia="ar-SA"/>
        </w:rPr>
        <w:t>excellence wherever it is to be found</w:t>
      </w:r>
      <w:r>
        <w:rPr>
          <w:rFonts w:ascii="Times New Roman" w:eastAsia="Times New Roman" w:hAnsi="Times New Roman" w:cs="Times New Roman"/>
          <w:bCs/>
          <w:noProof/>
          <w:sz w:val="24"/>
          <w:szCs w:val="24"/>
          <w:lang w:val="en-US" w:eastAsia="ar-SA"/>
        </w:rPr>
        <w:t>.</w:t>
      </w: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How did</w:t>
      </w:r>
      <w:r>
        <w:rPr>
          <w:rFonts w:ascii="Times New Roman" w:eastAsia="Times New Roman" w:hAnsi="Times New Roman" w:cs="Times New Roman"/>
          <w:b/>
          <w:noProof/>
          <w:sz w:val="24"/>
          <w:szCs w:val="24"/>
          <w:lang w:eastAsia="ar-SA"/>
        </w:rPr>
        <w:t xml:space="preserve"> </w:t>
      </w:r>
      <w:r>
        <w:rPr>
          <w:rFonts w:ascii="Times New Roman" w:eastAsia="Calibri" w:hAnsi="Times New Roman" w:cs="Times New Roman"/>
          <w:b/>
          <w:noProof/>
          <w:sz w:val="24"/>
          <w:szCs w:val="24"/>
        </w:rPr>
        <w:t xml:space="preserve">Ideas SP promote the development of European research careers and contribute to make Europe more attractive to the </w:t>
      </w:r>
      <w:r>
        <w:rPr>
          <w:rFonts w:ascii="Times New Roman" w:eastAsia="Calibri" w:hAnsi="Times New Roman" w:cs="Times New Roman"/>
          <w:b/>
          <w:noProof/>
          <w:sz w:val="24"/>
          <w:szCs w:val="24"/>
        </w:rPr>
        <w:t>best researchers?</w:t>
      </w: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noProof/>
          <w:sz w:val="24"/>
          <w:szCs w:val="24"/>
          <w:lang w:eastAsia="ar-SA"/>
        </w:rPr>
        <w:t xml:space="preserve">One of the key objectives of the ERC was to offer attractive funding conditions which would help to attract and retain outstanding researchers in the ERA. The ERC funded a research project from </w:t>
      </w:r>
      <w:r>
        <w:rPr>
          <w:rFonts w:ascii="Times New Roman" w:eastAsia="Times New Roman" w:hAnsi="Times New Roman" w:cs="Times New Roman"/>
          <w:bCs/>
          <w:noProof/>
          <w:sz w:val="24"/>
          <w:szCs w:val="24"/>
          <w:lang w:eastAsia="ar-SA"/>
        </w:rPr>
        <w:t xml:space="preserve">September 2009 – September 2014 designed to </w:t>
      </w:r>
      <w:r>
        <w:rPr>
          <w:rFonts w:ascii="Times New Roman" w:eastAsia="Times New Roman" w:hAnsi="Times New Roman" w:cs="Times New Roman"/>
          <w:bCs/>
          <w:noProof/>
          <w:sz w:val="24"/>
          <w:szCs w:val="24"/>
          <w:lang w:eastAsia="ar-SA"/>
        </w:rPr>
        <w:t>evaluate the ERC’s Starting Grant programme by focusing on the effects on the individual career development of young researchers. The project also aimed to analyse any wider institutional and structural effects of ERC funding</w:t>
      </w:r>
      <w:r>
        <w:rPr>
          <w:rFonts w:ascii="Times New Roman" w:eastAsia="Times New Roman" w:hAnsi="Times New Roman" w:cs="Times New Roman"/>
          <w:bCs/>
          <w:noProof/>
          <w:sz w:val="24"/>
          <w:szCs w:val="24"/>
          <w:vertAlign w:val="superscript"/>
          <w:lang w:eastAsia="ar-SA"/>
        </w:rPr>
        <w:footnoteReference w:id="17"/>
      </w:r>
      <w:r>
        <w:rPr>
          <w:rFonts w:ascii="Times New Roman" w:eastAsia="Times New Roman" w:hAnsi="Times New Roman" w:cs="Times New Roman"/>
          <w:bCs/>
          <w:noProof/>
          <w:sz w:val="24"/>
          <w:szCs w:val="24"/>
          <w:lang w:eastAsia="ar-SA"/>
        </w:rPr>
        <w:t xml:space="preserve">. </w:t>
      </w:r>
      <w:r>
        <w:rPr>
          <w:rFonts w:ascii="Times New Roman" w:eastAsia="Times New Roman" w:hAnsi="Times New Roman" w:cs="Times New Roman"/>
          <w:bCs/>
          <w:iCs/>
          <w:noProof/>
          <w:sz w:val="24"/>
          <w:szCs w:val="24"/>
          <w:lang w:eastAsia="ar-SA"/>
        </w:rPr>
        <w:t>The charts below show the ch</w:t>
      </w:r>
      <w:r>
        <w:rPr>
          <w:rFonts w:ascii="Times New Roman" w:eastAsia="Times New Roman" w:hAnsi="Times New Roman" w:cs="Times New Roman"/>
          <w:bCs/>
          <w:iCs/>
          <w:noProof/>
          <w:sz w:val="24"/>
          <w:szCs w:val="24"/>
          <w:lang w:eastAsia="ar-SA"/>
        </w:rPr>
        <w:t>anges in working situation reported by successful ERC grantees in comparison to a control group of unsuccessful ERC applicants</w:t>
      </w:r>
      <w:r>
        <w:rPr>
          <w:rFonts w:ascii="Times New Roman" w:eastAsia="Times New Roman" w:hAnsi="Times New Roman" w:cs="Times New Roman"/>
          <w:bCs/>
          <w:iCs/>
          <w:noProof/>
          <w:sz w:val="24"/>
          <w:szCs w:val="24"/>
          <w:vertAlign w:val="superscript"/>
          <w:lang w:eastAsia="ar-SA"/>
        </w:rPr>
        <w:footnoteReference w:id="18"/>
      </w:r>
      <w:r>
        <w:rPr>
          <w:rFonts w:ascii="Times New Roman" w:eastAsia="Times New Roman" w:hAnsi="Times New Roman" w:cs="Times New Roman"/>
          <w:bCs/>
          <w:iCs/>
          <w:noProof/>
          <w:sz w:val="24"/>
          <w:szCs w:val="24"/>
          <w:lang w:eastAsia="ar-SA"/>
        </w:rPr>
        <w:t>.</w:t>
      </w:r>
      <w:r>
        <w:rPr>
          <w:rFonts w:ascii="Times New Roman" w:eastAsia="Times New Roman" w:hAnsi="Times New Roman" w:cs="Times New Roman"/>
          <w:b/>
          <w:bCs/>
          <w:i/>
          <w:iCs/>
          <w:noProof/>
          <w:sz w:val="24"/>
          <w:szCs w:val="24"/>
          <w:lang w:eastAsia="ar-SA"/>
        </w:rPr>
        <w:t xml:space="preserve"> </w:t>
      </w:r>
      <w:r>
        <w:rPr>
          <w:rFonts w:ascii="Times New Roman" w:eastAsia="Times New Roman" w:hAnsi="Times New Roman" w:cs="Times New Roman"/>
          <w:bCs/>
          <w:iCs/>
          <w:noProof/>
          <w:sz w:val="24"/>
          <w:szCs w:val="24"/>
          <w:lang w:eastAsia="ar-SA"/>
        </w:rPr>
        <w:t xml:space="preserve">The results show that the researchers funded by the ERC reported </w:t>
      </w:r>
      <w:r>
        <w:rPr>
          <w:rFonts w:ascii="Times New Roman" w:eastAsia="Times New Roman" w:hAnsi="Times New Roman" w:cs="Times New Roman"/>
          <w:b/>
          <w:bCs/>
          <w:noProof/>
          <w:sz w:val="24"/>
          <w:szCs w:val="24"/>
          <w:lang w:eastAsia="ar-SA"/>
        </w:rPr>
        <w:t>better working conditions</w:t>
      </w:r>
      <w:r>
        <w:rPr>
          <w:rFonts w:ascii="Times New Roman" w:eastAsia="Times New Roman" w:hAnsi="Times New Roman" w:cs="Times New Roman"/>
          <w:bCs/>
          <w:noProof/>
          <w:sz w:val="24"/>
          <w:szCs w:val="24"/>
          <w:lang w:eastAsia="ar-SA"/>
        </w:rPr>
        <w:t xml:space="preserve"> across the board and in particular more time for research.</w:t>
      </w:r>
    </w:p>
    <w:p w:rsidR="00E535A0" w:rsidRDefault="00E535A0">
      <w:pPr>
        <w:spacing w:after="0" w:line="240" w:lineRule="auto"/>
        <w:jc w:val="center"/>
        <w:rPr>
          <w:rFonts w:ascii="Times New Roman" w:eastAsia="Times New Roman" w:hAnsi="Times New Roman" w:cs="Times New Roman"/>
          <w:bCs/>
          <w:noProof/>
          <w:sz w:val="24"/>
          <w:szCs w:val="24"/>
          <w:lang w:eastAsia="ar-SA"/>
        </w:rPr>
      </w:pPr>
    </w:p>
    <w:p w:rsidR="00E535A0" w:rsidRDefault="00E535A0">
      <w:pPr>
        <w:spacing w:after="0" w:line="240" w:lineRule="auto"/>
        <w:jc w:val="center"/>
        <w:rPr>
          <w:rFonts w:ascii="Times New Roman" w:eastAsia="Times New Roman" w:hAnsi="Times New Roman" w:cs="Times New Roman"/>
          <w:bCs/>
          <w:noProof/>
          <w:sz w:val="24"/>
          <w:szCs w:val="24"/>
          <w:lang w:eastAsia="ar-SA"/>
        </w:rPr>
      </w:pPr>
    </w:p>
    <w:p w:rsidR="00E535A0" w:rsidRDefault="00C953F5">
      <w:pPr>
        <w:spacing w:after="0" w:line="240" w:lineRule="auto"/>
        <w:jc w:val="center"/>
        <w:rPr>
          <w:rFonts w:ascii="Times New Roman" w:eastAsia="Times New Roman" w:hAnsi="Times New Roman" w:cs="Times New Roman"/>
          <w:b/>
          <w:i/>
          <w:noProof/>
          <w:sz w:val="24"/>
          <w:szCs w:val="24"/>
          <w:lang w:eastAsia="ar-SA"/>
        </w:rPr>
      </w:pPr>
      <w:r>
        <w:rPr>
          <w:rFonts w:ascii="Times New Roman" w:eastAsia="Times New Roman" w:hAnsi="Times New Roman" w:cs="Times New Roman"/>
          <w:b/>
          <w:i/>
          <w:noProof/>
          <w:sz w:val="24"/>
          <w:szCs w:val="24"/>
          <w:lang w:val="de-DE" w:eastAsia="de-DE"/>
        </w:rPr>
        <w:drawing>
          <wp:inline distT="0" distB="0" distL="0" distR="0">
            <wp:extent cx="3939540" cy="2887980"/>
            <wp:effectExtent l="19050" t="19050" r="22860" b="266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17.jpg"/>
                    <pic:cNvPicPr/>
                  </pic:nvPicPr>
                  <pic:blipFill>
                    <a:blip r:embed="rId35">
                      <a:extLst>
                        <a:ext uri="{28A0092B-C50C-407E-A947-70E740481C1C}">
                          <a14:useLocalDpi xmlns:a14="http://schemas.microsoft.com/office/drawing/2010/main" val="0"/>
                        </a:ext>
                      </a:extLst>
                    </a:blip>
                    <a:stretch>
                      <a:fillRect/>
                    </a:stretch>
                  </pic:blipFill>
                  <pic:spPr>
                    <a:xfrm>
                      <a:off x="0" y="0"/>
                      <a:ext cx="3939540" cy="2887980"/>
                    </a:xfrm>
                    <a:prstGeom prst="rect">
                      <a:avLst/>
                    </a:prstGeom>
                    <a:ln>
                      <a:solidFill>
                        <a:sysClr val="windowText" lastClr="000000"/>
                      </a:solidFill>
                    </a:ln>
                  </pic:spPr>
                </pic:pic>
              </a:graphicData>
            </a:graphic>
          </wp:inline>
        </w:drawing>
      </w:r>
    </w:p>
    <w:p w:rsidR="00E535A0" w:rsidRDefault="00C953F5">
      <w:pPr>
        <w:spacing w:after="0" w:line="240" w:lineRule="auto"/>
        <w:jc w:val="center"/>
        <w:rPr>
          <w:rFonts w:ascii="Times New Roman" w:eastAsia="Times New Roman" w:hAnsi="Times New Roman" w:cs="Times New Roman"/>
          <w:bCs/>
          <w:noProof/>
          <w:szCs w:val="24"/>
          <w:lang w:eastAsia="ar-SA"/>
        </w:rPr>
      </w:pPr>
      <w:r>
        <w:rPr>
          <w:rFonts w:ascii="Times New Roman" w:eastAsia="Times New Roman" w:hAnsi="Times New Roman" w:cs="Times New Roman"/>
          <w:b/>
          <w:bCs/>
          <w:noProof/>
          <w:szCs w:val="24"/>
          <w:lang w:val="en-US" w:eastAsia="ar-SA"/>
        </w:rPr>
        <w:t>Assessment of the working situation (MERCI final results)</w:t>
      </w:r>
    </w:p>
    <w:p w:rsidR="00E535A0" w:rsidRDefault="00E535A0">
      <w:pPr>
        <w:spacing w:after="0" w:line="240" w:lineRule="auto"/>
        <w:jc w:val="both"/>
        <w:rPr>
          <w:rFonts w:ascii="Times New Roman" w:eastAsia="Times New Roman" w:hAnsi="Times New Roman" w:cs="Times New Roman"/>
          <w:b/>
          <w:bCs/>
          <w:i/>
          <w:noProof/>
          <w:sz w:val="24"/>
          <w:szCs w:val="24"/>
          <w:lang w:val="en-US" w:eastAsia="ar-SA"/>
        </w:rPr>
      </w:pPr>
    </w:p>
    <w:p w:rsidR="00E535A0" w:rsidRDefault="00C953F5">
      <w:pPr>
        <w:spacing w:after="0" w:line="240" w:lineRule="auto"/>
        <w:jc w:val="center"/>
        <w:rPr>
          <w:rFonts w:ascii="Times New Roman" w:eastAsia="Times New Roman" w:hAnsi="Times New Roman" w:cs="Times New Roman"/>
          <w:b/>
          <w:i/>
          <w:noProof/>
          <w:sz w:val="24"/>
          <w:szCs w:val="24"/>
          <w:lang w:eastAsia="ar-SA"/>
        </w:rPr>
      </w:pPr>
      <w:r>
        <w:rPr>
          <w:rFonts w:ascii="Times New Roman" w:eastAsia="Times New Roman" w:hAnsi="Times New Roman" w:cs="Times New Roman"/>
          <w:b/>
          <w:i/>
          <w:noProof/>
          <w:sz w:val="24"/>
          <w:szCs w:val="24"/>
          <w:lang w:val="de-DE" w:eastAsia="de-DE"/>
        </w:rPr>
        <w:drawing>
          <wp:inline distT="0" distB="0" distL="0" distR="0">
            <wp:extent cx="4160520" cy="30556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18.jpg"/>
                    <pic:cNvPicPr/>
                  </pic:nvPicPr>
                  <pic:blipFill>
                    <a:blip r:embed="rId36">
                      <a:extLst>
                        <a:ext uri="{28A0092B-C50C-407E-A947-70E740481C1C}">
                          <a14:useLocalDpi xmlns:a14="http://schemas.microsoft.com/office/drawing/2010/main" val="0"/>
                        </a:ext>
                      </a:extLst>
                    </a:blip>
                    <a:stretch>
                      <a:fillRect/>
                    </a:stretch>
                  </pic:blipFill>
                  <pic:spPr>
                    <a:xfrm>
                      <a:off x="0" y="0"/>
                      <a:ext cx="4160520" cy="3055620"/>
                    </a:xfrm>
                    <a:prstGeom prst="rect">
                      <a:avLst/>
                    </a:prstGeom>
                  </pic:spPr>
                </pic:pic>
              </a:graphicData>
            </a:graphic>
          </wp:inline>
        </w:drawing>
      </w:r>
    </w:p>
    <w:p w:rsidR="00E535A0" w:rsidRDefault="00C953F5">
      <w:pPr>
        <w:spacing w:after="0" w:line="240" w:lineRule="auto"/>
        <w:jc w:val="center"/>
        <w:rPr>
          <w:rFonts w:ascii="Times New Roman" w:eastAsia="Times New Roman" w:hAnsi="Times New Roman" w:cs="Times New Roman"/>
          <w:b/>
          <w:bCs/>
          <w:noProof/>
          <w:szCs w:val="24"/>
          <w:lang w:eastAsia="ar-SA"/>
        </w:rPr>
      </w:pPr>
      <w:r>
        <w:rPr>
          <w:rFonts w:ascii="Times New Roman" w:eastAsia="Times New Roman" w:hAnsi="Times New Roman" w:cs="Times New Roman"/>
          <w:b/>
          <w:bCs/>
          <w:noProof/>
          <w:szCs w:val="24"/>
          <w:lang w:val="en-US" w:eastAsia="ar-SA"/>
        </w:rPr>
        <w:t>Assessment of the time-budget (MERCI final results)</w:t>
      </w:r>
    </w:p>
    <w:p w:rsidR="00E535A0" w:rsidRDefault="00E535A0">
      <w:pPr>
        <w:spacing w:after="0" w:line="240" w:lineRule="auto"/>
        <w:jc w:val="both"/>
        <w:rPr>
          <w:rFonts w:ascii="Times New Roman" w:eastAsia="Times New Roman" w:hAnsi="Times New Roman" w:cs="Times New Roman"/>
          <w:b/>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Furthermore, the ERC funded a research project from </w:t>
      </w:r>
      <w:r>
        <w:rPr>
          <w:rFonts w:ascii="Times New Roman" w:eastAsia="Times New Roman" w:hAnsi="Times New Roman" w:cs="Times New Roman"/>
          <w:noProof/>
          <w:sz w:val="24"/>
          <w:szCs w:val="24"/>
          <w:lang w:val="en-US" w:eastAsia="ar-SA"/>
        </w:rPr>
        <w:t xml:space="preserve">February 2009 to April 2012 </w:t>
      </w:r>
      <w:r>
        <w:rPr>
          <w:rFonts w:ascii="Times New Roman" w:eastAsia="Times New Roman" w:hAnsi="Times New Roman" w:cs="Times New Roman"/>
          <w:noProof/>
          <w:sz w:val="24"/>
          <w:szCs w:val="24"/>
          <w:lang w:eastAsia="ar-SA"/>
        </w:rPr>
        <w:t>to explore the possible broader impacts of the ERC</w:t>
      </w:r>
      <w:r>
        <w:rPr>
          <w:rFonts w:ascii="Times New Roman" w:eastAsia="Times New Roman" w:hAnsi="Times New Roman" w:cs="Times New Roman"/>
          <w:noProof/>
          <w:sz w:val="24"/>
          <w:szCs w:val="24"/>
          <w:vertAlign w:val="superscript"/>
          <w:lang w:eastAsia="ar-SA"/>
        </w:rPr>
        <w:footnoteReference w:id="19"/>
      </w:r>
      <w:r>
        <w:rPr>
          <w:rFonts w:ascii="Times New Roman" w:eastAsia="Times New Roman" w:hAnsi="Times New Roman" w:cs="Times New Roman"/>
          <w:noProof/>
          <w:sz w:val="24"/>
          <w:szCs w:val="24"/>
          <w:lang w:eastAsia="ar-SA"/>
        </w:rPr>
        <w:t>. The project found preliminary evidence of impacts at several levels beyond the direct effects on the careers and research of the ERC grantees themselves.</w:t>
      </w:r>
      <w:r>
        <w:rPr>
          <w:rFonts w:ascii="Times New Roman" w:hAnsi="Times New Roman" w:cs="Times New Roman"/>
          <w:i/>
          <w:noProof/>
          <w:sz w:val="24"/>
          <w:szCs w:val="24"/>
        </w:rPr>
        <w:t xml:space="preserve"> </w:t>
      </w:r>
      <w:r>
        <w:rPr>
          <w:rFonts w:ascii="Times New Roman" w:eastAsia="Times New Roman" w:hAnsi="Times New Roman" w:cs="Times New Roman"/>
          <w:noProof/>
          <w:sz w:val="24"/>
          <w:szCs w:val="24"/>
          <w:lang w:eastAsia="ar-SA"/>
        </w:rPr>
        <w:t xml:space="preserve">The study found that </w:t>
      </w:r>
      <w:r>
        <w:rPr>
          <w:rFonts w:ascii="Times New Roman" w:eastAsia="Times New Roman" w:hAnsi="Times New Roman" w:cs="Times New Roman"/>
          <w:noProof/>
          <w:sz w:val="24"/>
          <w:szCs w:val="24"/>
          <w:lang w:eastAsia="ar-SA"/>
        </w:rPr>
        <w:t>ERC success is unanimously seen as a new quality marker for research organisations across Europe, which in turn feeds back into actions by the research and university leaders. The impact of the ERC on universities and research institutes was most pronounce</w:t>
      </w:r>
      <w:r>
        <w:rPr>
          <w:rFonts w:ascii="Times New Roman" w:eastAsia="Times New Roman" w:hAnsi="Times New Roman" w:cs="Times New Roman"/>
          <w:noProof/>
          <w:sz w:val="24"/>
          <w:szCs w:val="24"/>
          <w:lang w:eastAsia="ar-SA"/>
        </w:rPr>
        <w:t xml:space="preserve">d in the research organisations that are just below the top research performers since the existence of the ERC as well as attracting some grants is used to overhaul the organisation and develop and implement the practices conducive to research excellence. </w:t>
      </w:r>
      <w:r>
        <w:rPr>
          <w:rFonts w:ascii="Times New Roman" w:eastAsia="Times New Roman" w:hAnsi="Times New Roman" w:cs="Times New Roman"/>
          <w:noProof/>
          <w:sz w:val="24"/>
          <w:szCs w:val="24"/>
          <w:lang w:eastAsia="ar-SA"/>
        </w:rPr>
        <w:t>The ERC and its funding schemes have less direct impact on top research performers and on research organisations that are lagging far behind these.</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Frontier research also plays a </w:t>
      </w:r>
      <w:r>
        <w:rPr>
          <w:rFonts w:ascii="Times New Roman" w:eastAsia="Times New Roman" w:hAnsi="Times New Roman" w:cs="Times New Roman"/>
          <w:b/>
          <w:noProof/>
          <w:sz w:val="24"/>
          <w:szCs w:val="24"/>
          <w:lang w:eastAsia="ar-SA"/>
        </w:rPr>
        <w:t>critical role in training</w:t>
      </w:r>
      <w:r>
        <w:rPr>
          <w:rFonts w:ascii="Times New Roman" w:eastAsia="Times New Roman" w:hAnsi="Times New Roman" w:cs="Times New Roman"/>
          <w:noProof/>
          <w:sz w:val="24"/>
          <w:szCs w:val="24"/>
          <w:lang w:eastAsia="ar-SA"/>
        </w:rPr>
        <w:t xml:space="preserve"> new graduate students and post-doctoral researcher</w:t>
      </w:r>
      <w:r>
        <w:rPr>
          <w:rFonts w:ascii="Times New Roman" w:eastAsia="Times New Roman" w:hAnsi="Times New Roman" w:cs="Times New Roman"/>
          <w:noProof/>
          <w:sz w:val="24"/>
          <w:szCs w:val="24"/>
          <w:lang w:eastAsia="ar-SA"/>
        </w:rPr>
        <w:t xml:space="preserve">s. Whether their final professional destination is academia or industry, research-trained graduates bring with them skills needed to perform research and to develop new ideas and skills in using advanced instrumentation and techniques. </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 xml:space="preserve">The proportion of </w:t>
      </w:r>
      <w:r>
        <w:rPr>
          <w:rFonts w:ascii="Times New Roman" w:eastAsia="Times New Roman" w:hAnsi="Times New Roman" w:cs="Times New Roman"/>
          <w:b/>
          <w:bCs/>
          <w:noProof/>
          <w:sz w:val="24"/>
          <w:szCs w:val="24"/>
          <w:lang w:eastAsia="ar-SA"/>
        </w:rPr>
        <w:t>ERC grantees with non-ERA nationality</w:t>
      </w:r>
      <w:r>
        <w:rPr>
          <w:rFonts w:ascii="Times New Roman" w:eastAsia="Times New Roman" w:hAnsi="Times New Roman" w:cs="Times New Roman"/>
          <w:bCs/>
          <w:noProof/>
          <w:sz w:val="24"/>
          <w:szCs w:val="24"/>
          <w:lang w:eastAsia="ar-SA"/>
        </w:rPr>
        <w:t xml:space="preserve"> is about 7.1%. However many of these were already based in Europe at time of application. The proportion of ERC grantees that were resident outside ERA at time of application is about 2.6% (most being ERA nationals in </w:t>
      </w:r>
      <w:r>
        <w:rPr>
          <w:rFonts w:ascii="Times New Roman" w:eastAsia="Times New Roman" w:hAnsi="Times New Roman" w:cs="Times New Roman"/>
          <w:bCs/>
          <w:noProof/>
          <w:sz w:val="24"/>
          <w:szCs w:val="24"/>
          <w:lang w:eastAsia="ar-SA"/>
        </w:rPr>
        <w:t>US). Researchers tend to be very mobile early in their careers but they are less likely to move at the stage when they have received tenure from their host institution which is a stage of many researchers in the ERC target population.</w:t>
      </w:r>
    </w:p>
    <w:p w:rsidR="00E535A0" w:rsidRDefault="00E535A0">
      <w:pPr>
        <w:spacing w:after="0" w:line="240" w:lineRule="auto"/>
        <w:jc w:val="both"/>
        <w:rPr>
          <w:rFonts w:ascii="Times New Roman" w:eastAsia="Times New Roman" w:hAnsi="Times New Roman" w:cs="Times New Roman"/>
          <w:bCs/>
          <w:noProof/>
          <w:sz w:val="24"/>
          <w:szCs w:val="24"/>
          <w:lang w:eastAsia="ar-SA"/>
        </w:rPr>
      </w:pPr>
    </w:p>
    <w:p w:rsidR="00E535A0" w:rsidRDefault="00C953F5">
      <w:pPr>
        <w:spacing w:after="0" w:line="240" w:lineRule="auto"/>
        <w:jc w:val="both"/>
        <w:rPr>
          <w:rFonts w:ascii="Times New Roman" w:eastAsia="Times New Roman" w:hAnsi="Times New Roman" w:cs="Times New Roman"/>
          <w:bCs/>
          <w:noProof/>
          <w:sz w:val="24"/>
          <w:szCs w:val="24"/>
          <w:lang w:eastAsia="ar-SA"/>
        </w:rPr>
      </w:pPr>
      <w:r>
        <w:rPr>
          <w:rFonts w:ascii="Times New Roman" w:eastAsia="Times New Roman" w:hAnsi="Times New Roman" w:cs="Times New Roman"/>
          <w:bCs/>
          <w:noProof/>
          <w:sz w:val="24"/>
          <w:szCs w:val="24"/>
          <w:lang w:eastAsia="ar-SA"/>
        </w:rPr>
        <w:t xml:space="preserve">For example, around </w:t>
      </w:r>
      <w:r>
        <w:rPr>
          <w:rFonts w:ascii="Times New Roman" w:eastAsia="Times New Roman" w:hAnsi="Times New Roman" w:cs="Times New Roman"/>
          <w:bCs/>
          <w:noProof/>
          <w:sz w:val="24"/>
          <w:szCs w:val="24"/>
          <w:lang w:eastAsia="ar-SA"/>
        </w:rPr>
        <w:t>17% of the PhDs and post-docs in ERC teams (estimated at 2,700 over FP7) were from outside Europe, the largest number of whom were from China, the USA and India. This shows the potential of ERC PIs to attract talented early-stage researchers to Europe from</w:t>
      </w:r>
      <w:r>
        <w:rPr>
          <w:rFonts w:ascii="Times New Roman" w:eastAsia="Times New Roman" w:hAnsi="Times New Roman" w:cs="Times New Roman"/>
          <w:bCs/>
          <w:noProof/>
          <w:sz w:val="24"/>
          <w:szCs w:val="24"/>
          <w:lang w:eastAsia="ar-SA"/>
        </w:rPr>
        <w:t xml:space="preserve"> around the world.</w:t>
      </w:r>
    </w:p>
    <w:p w:rsidR="00E535A0" w:rsidRDefault="00E535A0">
      <w:pPr>
        <w:spacing w:after="0" w:line="240" w:lineRule="auto"/>
        <w:jc w:val="both"/>
        <w:rPr>
          <w:rFonts w:ascii="Times New Roman" w:eastAsia="Times New Roman" w:hAnsi="Times New Roman" w:cs="Times New Roman"/>
          <w:b/>
          <w:bCs/>
          <w:noProof/>
          <w:sz w:val="24"/>
          <w:szCs w:val="24"/>
          <w:lang w:eastAsia="ar-SA"/>
        </w:rPr>
      </w:pPr>
    </w:p>
    <w:p w:rsidR="00E535A0" w:rsidRDefault="00C953F5">
      <w:pPr>
        <w:spacing w:after="0" w:line="240" w:lineRule="auto"/>
        <w:jc w:val="both"/>
        <w:rPr>
          <w:rFonts w:ascii="Times New Roman" w:eastAsia="Times New Roman" w:hAnsi="Times New Roman" w:cs="Times New Roman"/>
          <w:b/>
          <w:bCs/>
          <w:i/>
          <w:noProof/>
          <w:sz w:val="24"/>
          <w:szCs w:val="24"/>
          <w:lang w:eastAsia="ar-SA"/>
        </w:rPr>
      </w:pPr>
      <w:r>
        <w:rPr>
          <w:rFonts w:ascii="Times New Roman" w:eastAsia="Times New Roman" w:hAnsi="Times New Roman" w:cs="Times New Roman"/>
          <w:b/>
          <w:bCs/>
          <w:i/>
          <w:noProof/>
          <w:sz w:val="24"/>
          <w:szCs w:val="24"/>
          <w:lang w:eastAsia="ar-SA"/>
        </w:rPr>
        <w:t>Table 9: ERC grantees that were resident outside ERA at time of application</w:t>
      </w:r>
    </w:p>
    <w:p w:rsidR="00E535A0" w:rsidRDefault="00E535A0">
      <w:pPr>
        <w:spacing w:after="0" w:line="240" w:lineRule="auto"/>
        <w:jc w:val="both"/>
        <w:rPr>
          <w:rFonts w:ascii="Times New Roman" w:eastAsia="Times New Roman" w:hAnsi="Times New Roman" w:cs="Times New Roman"/>
          <w:b/>
          <w:bCs/>
          <w:i/>
          <w:noProof/>
          <w:sz w:val="24"/>
          <w:szCs w:val="24"/>
          <w:lang w:eastAsia="ar-SA"/>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941"/>
        <w:gridCol w:w="1941"/>
        <w:gridCol w:w="1029"/>
      </w:tblGrid>
      <w:tr w:rsidR="00E535A0">
        <w:trPr>
          <w:trHeight w:val="390"/>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Country of residence</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International grantees</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ERA nationals</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Total</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Argentina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 </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Australia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3</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4</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Canada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3</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India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Japan</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 </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Korea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 </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Lebanon</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 </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Russia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 </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USA</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27</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72</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99</w:t>
            </w:r>
          </w:p>
        </w:tc>
      </w:tr>
      <w:tr w:rsidR="00E535A0">
        <w:trPr>
          <w:trHeight w:val="435"/>
        </w:trPr>
        <w:tc>
          <w:tcPr>
            <w:tcW w:w="4077"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Total</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32</w:t>
            </w:r>
          </w:p>
        </w:tc>
        <w:tc>
          <w:tcPr>
            <w:tcW w:w="1941"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81</w:t>
            </w:r>
          </w:p>
        </w:tc>
        <w:tc>
          <w:tcPr>
            <w:tcW w:w="1029" w:type="dxa"/>
            <w:shd w:val="clear" w:color="auto" w:fill="auto"/>
            <w:noWrap/>
            <w:hideMark/>
          </w:tcPr>
          <w:p w:rsidR="00E535A0" w:rsidRDefault="00C953F5">
            <w:pPr>
              <w:spacing w:after="0" w:line="240" w:lineRule="auto"/>
              <w:jc w:val="both"/>
              <w:rPr>
                <w:rFonts w:ascii="Times New Roman" w:eastAsia="Times New Roman" w:hAnsi="Times New Roman" w:cs="Times New Roman"/>
                <w:b/>
                <w:bCs/>
                <w:noProof/>
                <w:sz w:val="24"/>
                <w:szCs w:val="24"/>
                <w:lang w:eastAsia="ar-SA"/>
              </w:rPr>
            </w:pPr>
            <w:r>
              <w:rPr>
                <w:rFonts w:ascii="Times New Roman" w:eastAsia="Times New Roman" w:hAnsi="Times New Roman" w:cs="Times New Roman"/>
                <w:b/>
                <w:bCs/>
                <w:noProof/>
                <w:sz w:val="24"/>
                <w:szCs w:val="24"/>
                <w:lang w:eastAsia="ar-SA"/>
              </w:rPr>
              <w:t>113</w:t>
            </w:r>
          </w:p>
        </w:tc>
      </w:tr>
    </w:tbl>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How did Ideas SP provide the knowledge-base needed to support key Community policies?</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ERC does not have the explicit aim of funding studies that will make specific policy recommendations to the </w:t>
      </w:r>
      <w:r>
        <w:rPr>
          <w:rFonts w:ascii="Times New Roman" w:eastAsia="Calibri" w:hAnsi="Times New Roman" w:cs="Times New Roman"/>
          <w:noProof/>
          <w:sz w:val="24"/>
          <w:szCs w:val="24"/>
        </w:rPr>
        <w:t>Commission. However the ERC funds top quality research across all fields including in the social sciences and the humanities, and so a lot of this work is relevant to analysing and contributing to key Community policies.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One obvious example is the work of</w:t>
      </w:r>
      <w:r>
        <w:rPr>
          <w:rFonts w:ascii="Times New Roman" w:eastAsia="Calibri" w:hAnsi="Times New Roman" w:cs="Times New Roman"/>
          <w:noProof/>
          <w:sz w:val="24"/>
          <w:szCs w:val="24"/>
        </w:rPr>
        <w:t xml:space="preserve"> influential economists funded by the ERC such as Thomas Piketty and the Nobel Prize winners Jean Tirole and Christopher Pissarides.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usefulness of a large bottom-up programme is that it will often fund research into areas which were not seen as priori</w:t>
      </w:r>
      <w:r>
        <w:rPr>
          <w:rFonts w:ascii="Times New Roman" w:eastAsia="Calibri" w:hAnsi="Times New Roman" w:cs="Times New Roman"/>
          <w:noProof/>
          <w:sz w:val="24"/>
          <w:szCs w:val="24"/>
        </w:rPr>
        <w:t>ties in top-down programmes but which become priorities because of events such as the Ebola outbreak. One example is that during t</w:t>
      </w:r>
      <w:r>
        <w:rPr>
          <w:rFonts w:ascii="Times New Roman" w:eastAsia="Calibri" w:hAnsi="Times New Roman" w:cs="Times New Roman"/>
          <w:noProof/>
          <w:sz w:val="24"/>
          <w:szCs w:val="24"/>
          <w:lang w:val="en"/>
        </w:rPr>
        <w:t xml:space="preserve">he volcanic events at </w:t>
      </w:r>
      <w:hyperlink r:id="rId37" w:tooltip="Eyjafjallajökull" w:history="1">
        <w:r>
          <w:rPr>
            <w:rFonts w:ascii="Times New Roman" w:eastAsia="Calibri" w:hAnsi="Times New Roman" w:cs="Times New Roman"/>
            <w:noProof/>
            <w:sz w:val="24"/>
            <w:szCs w:val="24"/>
            <w:u w:val="single"/>
            <w:lang w:val="en"/>
          </w:rPr>
          <w:t>Eyjafjallajöku</w:t>
        </w:r>
        <w:r>
          <w:rPr>
            <w:rFonts w:ascii="Times New Roman" w:eastAsia="Calibri" w:hAnsi="Times New Roman" w:cs="Times New Roman"/>
            <w:noProof/>
            <w:sz w:val="24"/>
            <w:szCs w:val="24"/>
            <w:u w:val="single"/>
            <w:lang w:val="en"/>
          </w:rPr>
          <w:t>ll</w:t>
        </w:r>
      </w:hyperlink>
      <w:r>
        <w:rPr>
          <w:rFonts w:ascii="Times New Roman" w:eastAsia="Calibri" w:hAnsi="Times New Roman" w:cs="Times New Roman"/>
          <w:noProof/>
          <w:sz w:val="24"/>
          <w:szCs w:val="24"/>
          <w:lang w:val="en"/>
        </w:rPr>
        <w:t xml:space="preserve"> in </w:t>
      </w:r>
      <w:hyperlink r:id="rId38" w:tooltip="Iceland" w:history="1">
        <w:r>
          <w:rPr>
            <w:rFonts w:ascii="Times New Roman" w:eastAsia="Calibri" w:hAnsi="Times New Roman" w:cs="Times New Roman"/>
            <w:noProof/>
            <w:sz w:val="24"/>
            <w:szCs w:val="24"/>
            <w:u w:val="single"/>
            <w:lang w:val="en"/>
          </w:rPr>
          <w:t>Iceland</w:t>
        </w:r>
      </w:hyperlink>
      <w:r>
        <w:rPr>
          <w:rFonts w:ascii="Times New Roman" w:eastAsia="Calibri" w:hAnsi="Times New Roman" w:cs="Times New Roman"/>
          <w:noProof/>
          <w:sz w:val="24"/>
          <w:szCs w:val="24"/>
          <w:lang w:val="en"/>
        </w:rPr>
        <w:t xml:space="preserve"> in 2010 which caused enormous disruption to air travel across western and northern Europe it was found that the ERC was already funding </w:t>
      </w:r>
      <w:hyperlink r:id="rId39" w:history="1">
        <w:r>
          <w:rPr>
            <w:rFonts w:ascii="Times New Roman" w:eastAsia="Calibri" w:hAnsi="Times New Roman" w:cs="Times New Roman"/>
            <w:noProof/>
            <w:sz w:val="24"/>
            <w:szCs w:val="24"/>
            <w:u w:val="single"/>
            <w:lang w:val="en"/>
          </w:rPr>
          <w:t>a number of relevant projects</w:t>
        </w:r>
      </w:hyperlink>
      <w:r>
        <w:rPr>
          <w:rFonts w:ascii="Times New Roman" w:eastAsia="Calibri" w:hAnsi="Times New Roman" w:cs="Times New Roman"/>
          <w:noProof/>
          <w:sz w:val="24"/>
          <w:szCs w:val="24"/>
          <w:lang w:val="en"/>
        </w:rPr>
        <w:t>.</w:t>
      </w:r>
    </w:p>
    <w:p w:rsidR="00E535A0" w:rsidRDefault="00E535A0">
      <w:pPr>
        <w:autoSpaceDE w:val="0"/>
        <w:autoSpaceDN w:val="0"/>
        <w:adjustRightInd w:val="0"/>
        <w:spacing w:after="0" w:line="240" w:lineRule="auto"/>
        <w:jc w:val="both"/>
        <w:rPr>
          <w:rFonts w:ascii="Times New Roman" w:eastAsia="Calibri" w:hAnsi="Times New Roman" w:cs="Times New Roman"/>
          <w:b/>
          <w:noProof/>
          <w:sz w:val="24"/>
          <w:szCs w:val="24"/>
        </w:rPr>
      </w:pPr>
    </w:p>
    <w:p w:rsidR="00E535A0" w:rsidRDefault="00C953F5">
      <w:pPr>
        <w:spacing w:line="24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rPr>
        <w:br w:type="page"/>
      </w: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How did Ideas SP increase availability, coordination and access in relation to top-level European scientific and technologi</w:t>
      </w:r>
      <w:r>
        <w:rPr>
          <w:rFonts w:ascii="Times New Roman" w:eastAsia="Calibri" w:hAnsi="Times New Roman" w:cs="Times New Roman"/>
          <w:b/>
          <w:noProof/>
          <w:sz w:val="24"/>
          <w:szCs w:val="24"/>
        </w:rPr>
        <w:t>cal infrastructure?</w:t>
      </w:r>
    </w:p>
    <w:p w:rsidR="00E535A0" w:rsidRDefault="00E535A0">
      <w:pPr>
        <w:spacing w:after="0" w:line="240" w:lineRule="auto"/>
        <w:jc w:val="both"/>
        <w:rPr>
          <w:rFonts w:ascii="Times New Roman" w:eastAsia="Times New Roman" w:hAnsi="Times New Roman" w:cs="Times New Roman"/>
          <w:noProof/>
          <w:sz w:val="24"/>
          <w:szCs w:val="24"/>
          <w:lang w:val="en" w:eastAsia="ar-SA"/>
        </w:rPr>
      </w:pPr>
    </w:p>
    <w:p w:rsidR="00E535A0" w:rsidRDefault="00C953F5">
      <w:pPr>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val="en" w:eastAsia="ar-SA"/>
        </w:rPr>
        <w:t xml:space="preserve">The ERC Scientific Council has encouraged and supported the provision of </w:t>
      </w:r>
      <w:r>
        <w:rPr>
          <w:rFonts w:ascii="Times New Roman" w:eastAsia="Times New Roman" w:hAnsi="Times New Roman" w:cs="Times New Roman"/>
          <w:b/>
          <w:noProof/>
          <w:sz w:val="24"/>
          <w:szCs w:val="24"/>
          <w:lang w:val="en" w:eastAsia="ar-SA"/>
        </w:rPr>
        <w:t>open access</w:t>
      </w:r>
      <w:r>
        <w:rPr>
          <w:rFonts w:ascii="Times New Roman" w:eastAsia="Times New Roman" w:hAnsi="Times New Roman" w:cs="Times New Roman"/>
          <w:noProof/>
          <w:sz w:val="24"/>
          <w:szCs w:val="24"/>
          <w:lang w:val="en" w:eastAsia="ar-SA"/>
        </w:rPr>
        <w:t xml:space="preserve"> to the results of ERC funded research since the very beginning</w:t>
      </w:r>
      <w:r>
        <w:rPr>
          <w:rFonts w:ascii="Times New Roman" w:eastAsia="Times New Roman" w:hAnsi="Times New Roman" w:cs="Times New Roman"/>
          <w:noProof/>
          <w:sz w:val="24"/>
          <w:szCs w:val="24"/>
          <w:vertAlign w:val="superscript"/>
          <w:lang w:val="en" w:eastAsia="ar-SA"/>
        </w:rPr>
        <w:footnoteReference w:id="20"/>
      </w:r>
      <w:r>
        <w:rPr>
          <w:rFonts w:ascii="Times New Roman" w:eastAsia="Times New Roman" w:hAnsi="Times New Roman" w:cs="Times New Roman"/>
          <w:noProof/>
          <w:sz w:val="24"/>
          <w:szCs w:val="24"/>
          <w:lang w:val="en" w:eastAsia="ar-SA"/>
        </w:rPr>
        <w:t xml:space="preserve">. </w:t>
      </w:r>
      <w:r>
        <w:rPr>
          <w:rFonts w:ascii="Times New Roman" w:eastAsia="Times New Roman" w:hAnsi="Times New Roman" w:cs="Times New Roman"/>
          <w:noProof/>
          <w:sz w:val="24"/>
          <w:szCs w:val="24"/>
          <w:lang w:val="en-US" w:eastAsia="ar-SA"/>
        </w:rPr>
        <w:t xml:space="preserve">The ERC currently provides funding for the European PubMed Central (since 2013 with </w:t>
      </w:r>
      <w:r>
        <w:rPr>
          <w:rFonts w:ascii="Times New Roman" w:eastAsia="Times New Roman" w:hAnsi="Times New Roman" w:cs="Times New Roman"/>
          <w:noProof/>
          <w:sz w:val="24"/>
          <w:szCs w:val="24"/>
          <w:lang w:val="en-US" w:eastAsia="ar-SA"/>
        </w:rPr>
        <w:t>the latest round of up to €850k for up to 72 months from the ERC Work Programme 2015) initiative, arXiv (a nominal annual fee from the administrative budget) and the OAPEN initiative mainly covering open access books in the area of humanities and social sc</w:t>
      </w:r>
      <w:r>
        <w:rPr>
          <w:rFonts w:ascii="Times New Roman" w:eastAsia="Times New Roman" w:hAnsi="Times New Roman" w:cs="Times New Roman"/>
          <w:noProof/>
          <w:sz w:val="24"/>
          <w:szCs w:val="24"/>
          <w:lang w:val="en-US" w:eastAsia="ar-SA"/>
        </w:rPr>
        <w:t>iences (50k for up to 24 months from the ERC Work Programme 2015).</w:t>
      </w:r>
    </w:p>
    <w:p w:rsidR="00E535A0" w:rsidRDefault="00E535A0">
      <w:pPr>
        <w:spacing w:after="0" w:line="240" w:lineRule="auto"/>
        <w:jc w:val="both"/>
        <w:rPr>
          <w:rFonts w:ascii="Times New Roman" w:eastAsia="Times New Roman" w:hAnsi="Times New Roman" w:cs="Times New Roman"/>
          <w:noProof/>
          <w:sz w:val="24"/>
          <w:szCs w:val="24"/>
          <w:lang w:val="en" w:eastAsia="ar-SA"/>
        </w:rPr>
      </w:pPr>
    </w:p>
    <w:p w:rsidR="00E535A0" w:rsidRDefault="00C953F5">
      <w:pPr>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val="en" w:eastAsia="ar-SA"/>
        </w:rPr>
        <w:t>Direct costs, including for equipment accounted for about 25% of total project funding awarded by the ERC during FP7. ERC PIs can request additional funding of up to one million euro per g</w:t>
      </w:r>
      <w:r>
        <w:rPr>
          <w:rFonts w:ascii="Times New Roman" w:eastAsia="Times New Roman" w:hAnsi="Times New Roman" w:cs="Times New Roman"/>
          <w:noProof/>
          <w:sz w:val="24"/>
          <w:szCs w:val="24"/>
          <w:lang w:val="en" w:eastAsia="ar-SA"/>
        </w:rPr>
        <w:t>rant to cover the purchase of major equipment and access to large facilities. ERC PIs work at many of Europe’s top infrastructures including 11 projects at CERN.</w:t>
      </w:r>
    </w:p>
    <w:p w:rsidR="00E535A0" w:rsidRDefault="00E535A0">
      <w:pPr>
        <w:spacing w:after="0" w:line="240" w:lineRule="auto"/>
        <w:jc w:val="both"/>
        <w:rPr>
          <w:rFonts w:ascii="Times New Roman" w:eastAsia="Times New Roman" w:hAnsi="Times New Roman" w:cs="Times New Roman"/>
          <w:noProof/>
          <w:sz w:val="24"/>
          <w:szCs w:val="24"/>
          <w:lang w:val="en" w:eastAsia="ar-SA"/>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How much did Ideas SP contribute to job creation?</w:t>
      </w:r>
    </w:p>
    <w:p w:rsidR="00E535A0" w:rsidRDefault="00C953F5">
      <w:pPr>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eastAsia="ar-SA"/>
        </w:rPr>
        <w:t>The main role of the ERC in contributing to</w:t>
      </w:r>
      <w:r>
        <w:rPr>
          <w:rFonts w:ascii="Times New Roman" w:eastAsia="Times New Roman" w:hAnsi="Times New Roman" w:cs="Times New Roman"/>
          <w:noProof/>
          <w:sz w:val="24"/>
          <w:szCs w:val="24"/>
          <w:lang w:eastAsia="ar-SA"/>
        </w:rPr>
        <w:t xml:space="preserve"> job creation is its role in creating </w:t>
      </w:r>
      <w:r>
        <w:rPr>
          <w:rFonts w:ascii="Times New Roman" w:eastAsia="Times New Roman" w:hAnsi="Times New Roman" w:cs="Times New Roman"/>
          <w:noProof/>
          <w:sz w:val="24"/>
          <w:szCs w:val="24"/>
          <w:lang w:val="en" w:eastAsia="ar-SA"/>
        </w:rPr>
        <w:t xml:space="preserve">the new knowledge that will create whole new sectors and industries to provide high quality jobs, and drive future productivity and growth. </w:t>
      </w:r>
    </w:p>
    <w:p w:rsidR="00E535A0" w:rsidRDefault="00E535A0">
      <w:pPr>
        <w:spacing w:after="0" w:line="240" w:lineRule="auto"/>
        <w:jc w:val="both"/>
        <w:rPr>
          <w:rFonts w:ascii="Times New Roman" w:eastAsia="Times New Roman" w:hAnsi="Times New Roman" w:cs="Times New Roman"/>
          <w:noProof/>
          <w:sz w:val="24"/>
          <w:szCs w:val="24"/>
          <w:lang w:val="en"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val="en" w:eastAsia="ar-SA"/>
        </w:rPr>
        <w:t>However a large programme such as the ERC also directly supports researchers</w:t>
      </w:r>
      <w:r>
        <w:rPr>
          <w:rFonts w:ascii="Times New Roman" w:eastAsia="Times New Roman" w:hAnsi="Times New Roman" w:cs="Times New Roman"/>
          <w:noProof/>
          <w:sz w:val="24"/>
          <w:szCs w:val="24"/>
          <w:lang w:val="en" w:eastAsia="ar-SA"/>
        </w:rPr>
        <w:t xml:space="preserve"> and personnel costs accounted for about 50 – 60% of total project funding awarded by the ERC during FP7.</w:t>
      </w: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survey of 995 of the initial ERC grants showed that on average each ERC project employs six team members with around 63% of those having the role of</w:t>
      </w:r>
      <w:r>
        <w:rPr>
          <w:rFonts w:ascii="Times New Roman" w:eastAsia="Times New Roman" w:hAnsi="Times New Roman" w:cs="Times New Roman"/>
          <w:noProof/>
          <w:sz w:val="24"/>
          <w:szCs w:val="24"/>
          <w:lang w:eastAsia="ar-SA"/>
        </w:rPr>
        <w:t xml:space="preserve"> PhD students or post-docs. Extrapolating these numbers to the 4 354 StG, CoG and AdG projects means that the ERC will have supported around 16 000 PhD students and post-docs from FP7. </w:t>
      </w:r>
    </w:p>
    <w:p w:rsidR="00E535A0" w:rsidRDefault="00E535A0">
      <w:pPr>
        <w:spacing w:after="0" w:line="240" w:lineRule="auto"/>
        <w:jc w:val="both"/>
        <w:rPr>
          <w:rFonts w:ascii="Times New Roman" w:eastAsia="Times New Roman" w:hAnsi="Times New Roman" w:cs="Times New Roman"/>
          <w:noProof/>
          <w:sz w:val="24"/>
          <w:szCs w:val="24"/>
          <w:lang w:eastAsia="ar-SA"/>
        </w:rPr>
      </w:pPr>
    </w:p>
    <w:p w:rsidR="00E535A0" w:rsidRDefault="00C953F5">
      <w:pPr>
        <w:spacing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addition around 17% of these early-stage researchers were from out</w:t>
      </w:r>
      <w:r>
        <w:rPr>
          <w:rFonts w:ascii="Times New Roman" w:eastAsia="Times New Roman" w:hAnsi="Times New Roman" w:cs="Times New Roman"/>
          <w:noProof/>
          <w:sz w:val="24"/>
          <w:szCs w:val="24"/>
          <w:lang w:eastAsia="ar-SA"/>
        </w:rPr>
        <w:t>side Europe, the largest number of whom were from China, the USA and India. This shows the ERC’s potential to attract talented early-stage researchers to Europe from around the world.</w:t>
      </w:r>
    </w:p>
    <w:p w:rsidR="00E535A0" w:rsidRDefault="00E535A0">
      <w:pPr>
        <w:suppressAutoHyphens/>
        <w:spacing w:after="0" w:line="240" w:lineRule="auto"/>
        <w:ind w:left="720"/>
        <w:jc w:val="both"/>
        <w:rPr>
          <w:rFonts w:ascii="Times New Roman" w:eastAsia="Calibri" w:hAnsi="Times New Roman" w:cs="Times New Roman"/>
          <w:b/>
          <w:noProof/>
          <w:sz w:val="24"/>
          <w:szCs w:val="24"/>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To what extent was Ideas SP coherent with other EU actions (CIP, ESF) </w:t>
      </w:r>
      <w:r>
        <w:rPr>
          <w:rFonts w:ascii="Times New Roman" w:eastAsia="Calibri" w:hAnsi="Times New Roman" w:cs="Times New Roman"/>
          <w:b/>
          <w:noProof/>
          <w:sz w:val="24"/>
          <w:szCs w:val="24"/>
        </w:rPr>
        <w:t>and EU policy?</w:t>
      </w:r>
    </w:p>
    <w:p w:rsidR="00E535A0" w:rsidRDefault="00C953F5">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ERC has a significant structural impact by generating a powerful stimulus for driving up the quality of the European research system, over and above the researchers and projects which the ERC funds directly. ERC-funded projects and resea</w:t>
      </w:r>
      <w:r>
        <w:rPr>
          <w:rFonts w:ascii="Times New Roman" w:eastAsia="Times New Roman" w:hAnsi="Times New Roman" w:cs="Times New Roman"/>
          <w:noProof/>
          <w:sz w:val="24"/>
          <w:szCs w:val="24"/>
          <w:lang w:eastAsia="de-DE"/>
        </w:rPr>
        <w:t>rchers set a clear and inspirational target for frontier research in Europe, raise its profile and make it more attractive for the best researchers at global level. The prestige of hosting ERC grant- holders and the accompanying 'stamp of excellence' are i</w:t>
      </w:r>
      <w:r>
        <w:rPr>
          <w:rFonts w:ascii="Times New Roman" w:eastAsia="Times New Roman" w:hAnsi="Times New Roman" w:cs="Times New Roman"/>
          <w:noProof/>
          <w:sz w:val="24"/>
          <w:szCs w:val="24"/>
          <w:lang w:eastAsia="de-DE"/>
        </w:rPr>
        <w:t>ntensifying competition between Europe's universities and other research organisations to offer the most attractive conditions for top researchers. And the ability of national systems and individual research institutions to attract and host ERC grant-winne</w:t>
      </w:r>
      <w:r>
        <w:rPr>
          <w:rFonts w:ascii="Times New Roman" w:eastAsia="Times New Roman" w:hAnsi="Times New Roman" w:cs="Times New Roman"/>
          <w:noProof/>
          <w:sz w:val="24"/>
          <w:szCs w:val="24"/>
          <w:lang w:eastAsia="de-DE"/>
        </w:rPr>
        <w:t>rs sets a benchmark allowing them to assess their relative strengths and weaknesses and reform their policies and practices accordingly. ERC funding is therefore additional to the ongoing efforts at Union, national and regional level to reform, build capac</w:t>
      </w:r>
      <w:r>
        <w:rPr>
          <w:rFonts w:ascii="Times New Roman" w:eastAsia="Times New Roman" w:hAnsi="Times New Roman" w:cs="Times New Roman"/>
          <w:noProof/>
          <w:sz w:val="24"/>
          <w:szCs w:val="24"/>
          <w:lang w:eastAsia="de-DE"/>
        </w:rPr>
        <w:t>ity and unlock the full potential and attractiveness of the European research system.</w:t>
      </w:r>
    </w:p>
    <w:p w:rsidR="00E535A0" w:rsidRDefault="00E535A0">
      <w:pPr>
        <w:spacing w:after="240" w:line="240" w:lineRule="auto"/>
        <w:jc w:val="both"/>
        <w:rPr>
          <w:rFonts w:ascii="Times New Roman" w:eastAsia="Calibri" w:hAnsi="Times New Roman" w:cs="Times New Roman"/>
          <w:b/>
          <w:noProof/>
          <w:sz w:val="24"/>
          <w:szCs w:val="24"/>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Which was the added value of Ideas SP when compared with national research and innovation programmes?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There is strong evidence for suggesting that the ERC has high EU </w:t>
      </w:r>
      <w:r>
        <w:rPr>
          <w:rFonts w:ascii="Times New Roman" w:eastAsia="Calibri" w:hAnsi="Times New Roman" w:cs="Times New Roman"/>
          <w:noProof/>
          <w:sz w:val="24"/>
          <w:szCs w:val="24"/>
        </w:rPr>
        <w:t>added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5545"/>
      </w:tblGrid>
      <w:tr w:rsidR="00E535A0">
        <w:tc>
          <w:tcPr>
            <w:tcW w:w="317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Dimensions of EU added value</w:t>
            </w:r>
          </w:p>
          <w:p w:rsidR="00E535A0" w:rsidRDefault="00E535A0">
            <w:pPr>
              <w:spacing w:after="0" w:line="240" w:lineRule="auto"/>
              <w:jc w:val="both"/>
              <w:rPr>
                <w:rFonts w:ascii="Times New Roman" w:eastAsia="Batang" w:hAnsi="Times New Roman" w:cs="Times New Roman"/>
                <w:b/>
                <w:noProof/>
                <w:sz w:val="24"/>
                <w:szCs w:val="24"/>
                <w:lang w:eastAsia="de-DE"/>
              </w:rPr>
            </w:pPr>
          </w:p>
        </w:tc>
        <w:tc>
          <w:tcPr>
            <w:tcW w:w="554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ERC added value and its complementarity with the rest of the Framework Programme</w:t>
            </w:r>
          </w:p>
        </w:tc>
      </w:tr>
      <w:tr w:rsidR="00E535A0">
        <w:tc>
          <w:tcPr>
            <w:tcW w:w="317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Transnational dimension</w:t>
            </w:r>
          </w:p>
          <w:p w:rsidR="00E535A0" w:rsidRDefault="00E535A0">
            <w:pPr>
              <w:spacing w:after="0" w:line="240" w:lineRule="auto"/>
              <w:jc w:val="both"/>
              <w:rPr>
                <w:rFonts w:ascii="Times New Roman" w:eastAsia="Batang" w:hAnsi="Times New Roman" w:cs="Times New Roman"/>
                <w:b/>
                <w:noProof/>
                <w:sz w:val="24"/>
                <w:szCs w:val="24"/>
                <w:lang w:eastAsia="de-DE"/>
              </w:rPr>
            </w:pPr>
          </w:p>
        </w:tc>
        <w:tc>
          <w:tcPr>
            <w:tcW w:w="5545" w:type="dxa"/>
            <w:shd w:val="clear" w:color="auto" w:fill="auto"/>
          </w:tcPr>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Traditionally the Framework Programme has focussed on supporting transnational collaboration and mobility.</w:t>
            </w:r>
            <w:r>
              <w:rPr>
                <w:rFonts w:ascii="Times New Roman" w:eastAsia="Batang" w:hAnsi="Times New Roman" w:cs="Times New Roman"/>
                <w:noProof/>
                <w:sz w:val="24"/>
                <w:szCs w:val="24"/>
                <w:lang w:eastAsia="de-DE"/>
              </w:rPr>
              <w:t xml:space="preserve"> The ERC provides for the first time a European-wide competitive funding structure based on the sole criterion of excellence. </w:t>
            </w:r>
          </w:p>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In economic terms this transnational competition avoids the negative effects of cross-border externalities and limited systems co</w:t>
            </w:r>
            <w:r>
              <w:rPr>
                <w:rFonts w:ascii="Times New Roman" w:eastAsia="Batang" w:hAnsi="Times New Roman" w:cs="Times New Roman"/>
                <w:noProof/>
                <w:sz w:val="24"/>
                <w:szCs w:val="24"/>
                <w:lang w:eastAsia="de-DE"/>
              </w:rPr>
              <w:t>mpetition. This has far-reaching consequences:</w:t>
            </w:r>
          </w:p>
          <w:p w:rsidR="00E535A0" w:rsidRDefault="00C953F5">
            <w:pPr>
              <w:pStyle w:val="Aufzhlungszeichen"/>
              <w:rPr>
                <w:rFonts w:eastAsia="Batang"/>
                <w:noProof/>
                <w:lang w:eastAsia="de-DE"/>
              </w:rPr>
            </w:pPr>
            <w:r>
              <w:rPr>
                <w:rFonts w:eastAsia="Batang"/>
                <w:noProof/>
                <w:lang w:eastAsia="de-DE"/>
              </w:rPr>
              <w:t>Resources are allocated more efficiently, the best researchers with the best ideas receive funding regardless of their nationality and the availability of national funding;</w:t>
            </w:r>
          </w:p>
          <w:p w:rsidR="00E535A0" w:rsidRDefault="00C953F5">
            <w:pPr>
              <w:tabs>
                <w:tab w:val="num" w:pos="283"/>
              </w:tabs>
              <w:spacing w:after="240" w:line="240" w:lineRule="auto"/>
              <w:ind w:left="283" w:hanging="283"/>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 xml:space="preserve">ERC peer review and funded research </w:t>
            </w:r>
            <w:r>
              <w:rPr>
                <w:rFonts w:ascii="Times New Roman" w:eastAsia="Batang" w:hAnsi="Times New Roman" w:cs="Times New Roman"/>
                <w:noProof/>
                <w:sz w:val="24"/>
                <w:szCs w:val="24"/>
                <w:lang w:eastAsia="de-DE"/>
              </w:rPr>
              <w:t>acts as a gold standard allowing Member States and individual research institutions to benchmark the relative strengths of their systems and policies leading to important reform of national policies and institutional practices.</w:t>
            </w:r>
          </w:p>
          <w:p w:rsidR="00E535A0" w:rsidRDefault="00C953F5">
            <w:pPr>
              <w:spacing w:after="0" w:line="240" w:lineRule="auto"/>
              <w:jc w:val="both"/>
              <w:rPr>
                <w:rFonts w:ascii="Times New Roman" w:eastAsia="Batang" w:hAnsi="Times New Roman" w:cs="Times New Roman"/>
                <w:bCs/>
                <w:noProof/>
                <w:sz w:val="24"/>
                <w:szCs w:val="24"/>
                <w:lang w:eastAsia="de-DE"/>
              </w:rPr>
            </w:pPr>
            <w:r>
              <w:rPr>
                <w:rFonts w:ascii="Times New Roman" w:eastAsia="Batang" w:hAnsi="Times New Roman" w:cs="Times New Roman"/>
                <w:noProof/>
                <w:sz w:val="24"/>
                <w:szCs w:val="24"/>
                <w:lang w:eastAsia="de-DE"/>
              </w:rPr>
              <w:t xml:space="preserve">In this way the ERC funds research of the very highest quality </w:t>
            </w:r>
            <w:r>
              <w:rPr>
                <w:rFonts w:ascii="Times New Roman" w:eastAsia="Batang" w:hAnsi="Times New Roman" w:cs="Times New Roman"/>
                <w:bCs/>
                <w:noProof/>
                <w:sz w:val="24"/>
                <w:szCs w:val="24"/>
                <w:lang w:eastAsia="de-DE"/>
              </w:rPr>
              <w:t xml:space="preserve">at the frontiers of knowledge </w:t>
            </w:r>
            <w:r>
              <w:rPr>
                <w:rFonts w:ascii="Times New Roman" w:eastAsia="Batang" w:hAnsi="Times New Roman" w:cs="Times New Roman"/>
                <w:noProof/>
                <w:sz w:val="24"/>
                <w:szCs w:val="24"/>
                <w:lang w:eastAsia="de-DE"/>
              </w:rPr>
              <w:t>thus facilitating the major breakthroughs that are necessary to</w:t>
            </w:r>
            <w:r>
              <w:rPr>
                <w:rFonts w:ascii="Times New Roman" w:eastAsia="Batang" w:hAnsi="Times New Roman" w:cs="Times New Roman"/>
                <w:bCs/>
                <w:noProof/>
                <w:sz w:val="24"/>
                <w:szCs w:val="24"/>
                <w:lang w:eastAsia="de-DE"/>
              </w:rPr>
              <w:t xml:space="preserve"> </w:t>
            </w:r>
            <w:r>
              <w:rPr>
                <w:rFonts w:ascii="Times New Roman" w:eastAsia="Batang" w:hAnsi="Times New Roman" w:cs="Times New Roman"/>
                <w:noProof/>
                <w:sz w:val="24"/>
                <w:szCs w:val="24"/>
                <w:lang w:eastAsia="de-DE"/>
              </w:rPr>
              <w:t>address societal challenges, to promote the creation and growth of businesses in emerging sectors a</w:t>
            </w:r>
            <w:r>
              <w:rPr>
                <w:rFonts w:ascii="Times New Roman" w:eastAsia="Batang" w:hAnsi="Times New Roman" w:cs="Times New Roman"/>
                <w:noProof/>
                <w:sz w:val="24"/>
                <w:szCs w:val="24"/>
                <w:lang w:eastAsia="de-DE"/>
              </w:rPr>
              <w:t>nd to fully develop a knowledge and innovation society in Europe.</w:t>
            </w:r>
          </w:p>
          <w:p w:rsidR="00E535A0" w:rsidRDefault="00C953F5">
            <w:pPr>
              <w:spacing w:after="0" w:line="240" w:lineRule="auto"/>
              <w:jc w:val="both"/>
              <w:rPr>
                <w:rFonts w:ascii="Times New Roman" w:eastAsia="Batang" w:hAnsi="Times New Roman" w:cs="Times New Roman"/>
                <w:bCs/>
                <w:noProof/>
                <w:sz w:val="24"/>
                <w:szCs w:val="24"/>
                <w:lang w:eastAsia="de-DE"/>
              </w:rPr>
            </w:pPr>
            <w:r>
              <w:rPr>
                <w:rFonts w:ascii="Times New Roman" w:eastAsia="Batang" w:hAnsi="Times New Roman" w:cs="Times New Roman"/>
                <w:bCs/>
                <w:noProof/>
                <w:sz w:val="24"/>
                <w:szCs w:val="24"/>
                <w:lang w:eastAsia="de-DE"/>
              </w:rPr>
              <w:t>At the same time the ERC provides a powerful dynamic for driving up the quality of the overall European research system</w:t>
            </w:r>
            <w:r>
              <w:rPr>
                <w:rFonts w:ascii="Times New Roman" w:eastAsia="Batang" w:hAnsi="Times New Roman" w:cs="Times New Roman"/>
                <w:noProof/>
                <w:sz w:val="24"/>
                <w:szCs w:val="24"/>
                <w:lang w:eastAsia="de-DE"/>
              </w:rPr>
              <w:t xml:space="preserve">. In this way the ERC supports research excellence across the whole of </w:t>
            </w:r>
            <w:r>
              <w:rPr>
                <w:rFonts w:ascii="Times New Roman" w:eastAsia="Batang" w:hAnsi="Times New Roman" w:cs="Times New Roman"/>
                <w:noProof/>
                <w:sz w:val="24"/>
                <w:szCs w:val="24"/>
                <w:lang w:eastAsia="de-DE"/>
              </w:rPr>
              <w:t>the European Union and associated countries.</w:t>
            </w:r>
          </w:p>
        </w:tc>
      </w:tr>
      <w:tr w:rsidR="00E535A0">
        <w:tc>
          <w:tcPr>
            <w:tcW w:w="317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Economies of scale or scope</w:t>
            </w:r>
          </w:p>
          <w:p w:rsidR="00E535A0" w:rsidRDefault="00E535A0">
            <w:pPr>
              <w:spacing w:after="0" w:line="240" w:lineRule="auto"/>
              <w:jc w:val="both"/>
              <w:rPr>
                <w:rFonts w:ascii="Times New Roman" w:eastAsia="Batang" w:hAnsi="Times New Roman" w:cs="Times New Roman"/>
                <w:b/>
                <w:noProof/>
                <w:sz w:val="24"/>
                <w:szCs w:val="24"/>
                <w:lang w:eastAsia="de-DE"/>
              </w:rPr>
            </w:pPr>
          </w:p>
        </w:tc>
        <w:tc>
          <w:tcPr>
            <w:tcW w:w="5545" w:type="dxa"/>
            <w:shd w:val="clear" w:color="auto" w:fill="auto"/>
          </w:tcPr>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 xml:space="preserve">The ERC offers a large scope for economies of scale. By deciding centrally which proposals receive funding, the risk of duplication of research is limited; and it is less costly to </w:t>
            </w:r>
            <w:r>
              <w:rPr>
                <w:rFonts w:ascii="Times New Roman" w:eastAsia="Batang" w:hAnsi="Times New Roman" w:cs="Times New Roman"/>
                <w:noProof/>
                <w:sz w:val="24"/>
                <w:szCs w:val="24"/>
                <w:lang w:eastAsia="de-DE"/>
              </w:rPr>
              <w:t>employ the experts needed for high-quality assessment of project proposals. The scarcity of excellent peer reviewers in particular is a major factor for all research funding bodies. The quality of the ERC's peer review has already been widely recognised by</w:t>
            </w:r>
            <w:r>
              <w:rPr>
                <w:rFonts w:ascii="Times New Roman" w:eastAsia="Batang" w:hAnsi="Times New Roman" w:cs="Times New Roman"/>
                <w:noProof/>
                <w:sz w:val="24"/>
                <w:szCs w:val="24"/>
                <w:lang w:eastAsia="de-DE"/>
              </w:rPr>
              <w:t xml:space="preserve"> the research community as reported by a panel of independent experts</w:t>
            </w:r>
            <w:r>
              <w:rPr>
                <w:rFonts w:ascii="Times New Roman" w:eastAsia="Batang" w:hAnsi="Times New Roman" w:cs="Times New Roman"/>
                <w:noProof/>
                <w:sz w:val="24"/>
                <w:szCs w:val="24"/>
                <w:vertAlign w:val="superscript"/>
                <w:lang w:eastAsia="de-DE"/>
              </w:rPr>
              <w:footnoteReference w:id="21"/>
            </w:r>
            <w:r>
              <w:rPr>
                <w:rFonts w:ascii="Times New Roman" w:eastAsia="Batang" w:hAnsi="Times New Roman" w:cs="Times New Roman"/>
                <w:noProof/>
                <w:sz w:val="24"/>
                <w:szCs w:val="24"/>
                <w:lang w:eastAsia="de-DE"/>
              </w:rPr>
              <w:t xml:space="preserve"> and in the interim assessment of FP7.</w:t>
            </w:r>
          </w:p>
          <w:p w:rsidR="00E535A0" w:rsidRDefault="00E535A0">
            <w:pPr>
              <w:spacing w:after="0" w:line="240" w:lineRule="auto"/>
              <w:jc w:val="both"/>
              <w:rPr>
                <w:rFonts w:ascii="Times New Roman" w:eastAsia="Batang" w:hAnsi="Times New Roman" w:cs="Times New Roman"/>
                <w:noProof/>
                <w:sz w:val="24"/>
                <w:szCs w:val="24"/>
                <w:lang w:eastAsia="de-DE"/>
              </w:rPr>
            </w:pPr>
          </w:p>
          <w:p w:rsidR="00E535A0" w:rsidRDefault="00E535A0">
            <w:pPr>
              <w:spacing w:after="0" w:line="240" w:lineRule="auto"/>
              <w:jc w:val="both"/>
              <w:rPr>
                <w:rFonts w:ascii="Times New Roman" w:eastAsia="Batang" w:hAnsi="Times New Roman" w:cs="Times New Roman"/>
                <w:noProof/>
                <w:sz w:val="24"/>
                <w:szCs w:val="24"/>
                <w:lang w:eastAsia="de-DE"/>
              </w:rPr>
            </w:pPr>
          </w:p>
        </w:tc>
      </w:tr>
      <w:tr w:rsidR="00E535A0">
        <w:tc>
          <w:tcPr>
            <w:tcW w:w="317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Critical mass requirements</w:t>
            </w:r>
          </w:p>
          <w:p w:rsidR="00E535A0" w:rsidRDefault="00E535A0">
            <w:pPr>
              <w:spacing w:after="0" w:line="240" w:lineRule="auto"/>
              <w:jc w:val="both"/>
              <w:rPr>
                <w:rFonts w:ascii="Times New Roman" w:eastAsia="Batang" w:hAnsi="Times New Roman" w:cs="Times New Roman"/>
                <w:b/>
                <w:noProof/>
                <w:sz w:val="24"/>
                <w:szCs w:val="24"/>
                <w:lang w:eastAsia="de-DE"/>
              </w:rPr>
            </w:pPr>
          </w:p>
        </w:tc>
        <w:tc>
          <w:tcPr>
            <w:tcW w:w="5545" w:type="dxa"/>
            <w:shd w:val="clear" w:color="auto" w:fill="auto"/>
          </w:tcPr>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 xml:space="preserve">Traditionally the Framework Programme has focussed on building up critical mass by supporting "virtual centres" and </w:t>
            </w:r>
            <w:r>
              <w:rPr>
                <w:rFonts w:ascii="Times New Roman" w:eastAsia="Batang" w:hAnsi="Times New Roman" w:cs="Times New Roman"/>
                <w:noProof/>
                <w:sz w:val="24"/>
                <w:szCs w:val="24"/>
                <w:lang w:eastAsia="de-DE"/>
              </w:rPr>
              <w:t>networks. The ERC, by providing generous funding to research teams in situ and by making this funding portable, reinforces existing centres of excellence and allows ambitious new centres to quickly scale up the research profiles in which they are particula</w:t>
            </w:r>
            <w:r>
              <w:rPr>
                <w:rFonts w:ascii="Times New Roman" w:eastAsia="Batang" w:hAnsi="Times New Roman" w:cs="Times New Roman"/>
                <w:noProof/>
                <w:sz w:val="24"/>
                <w:szCs w:val="24"/>
                <w:lang w:eastAsia="de-DE"/>
              </w:rPr>
              <w:t xml:space="preserve">rly strong. </w:t>
            </w:r>
          </w:p>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The reinforcement of existing centres of excellence is an integral component of the ERC's mission given that Europe lags significantly behind the US at the highest levels of scientific research.</w:t>
            </w:r>
          </w:p>
          <w:p w:rsidR="00E535A0" w:rsidRDefault="00E535A0">
            <w:pPr>
              <w:spacing w:after="0" w:line="240" w:lineRule="auto"/>
              <w:jc w:val="both"/>
              <w:rPr>
                <w:rFonts w:ascii="Times New Roman" w:eastAsia="Batang" w:hAnsi="Times New Roman" w:cs="Times New Roman"/>
                <w:noProof/>
                <w:sz w:val="24"/>
                <w:szCs w:val="24"/>
                <w:lang w:eastAsia="de-DE"/>
              </w:rPr>
            </w:pPr>
          </w:p>
        </w:tc>
      </w:tr>
      <w:tr w:rsidR="00E535A0">
        <w:tc>
          <w:tcPr>
            <w:tcW w:w="317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Common preferences</w:t>
            </w:r>
          </w:p>
          <w:p w:rsidR="00E535A0" w:rsidRDefault="00E535A0">
            <w:pPr>
              <w:spacing w:after="0" w:line="240" w:lineRule="auto"/>
              <w:jc w:val="both"/>
              <w:rPr>
                <w:rFonts w:ascii="Times New Roman" w:eastAsia="Batang" w:hAnsi="Times New Roman" w:cs="Times New Roman"/>
                <w:b/>
                <w:noProof/>
                <w:sz w:val="24"/>
                <w:szCs w:val="24"/>
                <w:lang w:eastAsia="de-DE"/>
              </w:rPr>
            </w:pPr>
          </w:p>
        </w:tc>
        <w:tc>
          <w:tcPr>
            <w:tcW w:w="5545" w:type="dxa"/>
            <w:shd w:val="clear" w:color="auto" w:fill="auto"/>
          </w:tcPr>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 xml:space="preserve">The diversity of R&amp;D </w:t>
            </w:r>
            <w:r>
              <w:rPr>
                <w:rFonts w:ascii="Times New Roman" w:eastAsia="Batang" w:hAnsi="Times New Roman" w:cs="Times New Roman"/>
                <w:noProof/>
                <w:sz w:val="24"/>
                <w:szCs w:val="24"/>
                <w:lang w:eastAsia="de-DE"/>
              </w:rPr>
              <w:t>policies, particularly in the levels of public funding for R&amp;D is said to show the heterogeneity of policy preferences across the EU. This is often said to be an argument against centralising EU R&amp;D policy, or at least against centralising all public fundi</w:t>
            </w:r>
            <w:r>
              <w:rPr>
                <w:rFonts w:ascii="Times New Roman" w:eastAsia="Batang" w:hAnsi="Times New Roman" w:cs="Times New Roman"/>
                <w:noProof/>
                <w:sz w:val="24"/>
                <w:szCs w:val="24"/>
                <w:lang w:eastAsia="de-DE"/>
              </w:rPr>
              <w:t>ng for R&amp;D. However it is arguable whether all of these differences, especially in the levels of public funding for R&amp;D, reflect genuine preferences or under-spending by some MS resulting from the presence of spillovers. And in the case of the ERC it is no</w:t>
            </w:r>
            <w:r>
              <w:rPr>
                <w:rFonts w:ascii="Times New Roman" w:eastAsia="Batang" w:hAnsi="Times New Roman" w:cs="Times New Roman"/>
                <w:noProof/>
                <w:sz w:val="24"/>
                <w:szCs w:val="24"/>
                <w:lang w:eastAsia="de-DE"/>
              </w:rPr>
              <w:t>ticeable that all EU MS have a policy of supporting research excellence to greater or lesser degrees. See also the advantages of operating a bottom-up competition below.</w:t>
            </w:r>
          </w:p>
          <w:p w:rsidR="00E535A0" w:rsidRDefault="00E535A0">
            <w:pPr>
              <w:spacing w:after="0" w:line="240" w:lineRule="auto"/>
              <w:jc w:val="both"/>
              <w:rPr>
                <w:rFonts w:ascii="Times New Roman" w:eastAsia="Batang" w:hAnsi="Times New Roman" w:cs="Times New Roman"/>
                <w:noProof/>
                <w:sz w:val="24"/>
                <w:szCs w:val="24"/>
                <w:lang w:eastAsia="de-DE"/>
              </w:rPr>
            </w:pPr>
          </w:p>
        </w:tc>
      </w:tr>
      <w:tr w:rsidR="00E535A0">
        <w:tc>
          <w:tcPr>
            <w:tcW w:w="3175" w:type="dxa"/>
            <w:shd w:val="clear" w:color="auto" w:fill="auto"/>
          </w:tcPr>
          <w:p w:rsidR="00E535A0" w:rsidRDefault="00C953F5">
            <w:pPr>
              <w:spacing w:after="0" w:line="240" w:lineRule="auto"/>
              <w:jc w:val="both"/>
              <w:rPr>
                <w:rFonts w:ascii="Times New Roman" w:eastAsia="Batang" w:hAnsi="Times New Roman" w:cs="Times New Roman"/>
                <w:b/>
                <w:noProof/>
                <w:sz w:val="24"/>
                <w:szCs w:val="24"/>
                <w:lang w:eastAsia="de-DE"/>
              </w:rPr>
            </w:pPr>
            <w:r>
              <w:rPr>
                <w:rFonts w:ascii="Times New Roman" w:eastAsia="Batang" w:hAnsi="Times New Roman" w:cs="Times New Roman"/>
                <w:b/>
                <w:noProof/>
                <w:sz w:val="24"/>
                <w:szCs w:val="24"/>
                <w:lang w:eastAsia="de-DE"/>
              </w:rPr>
              <w:t>Low coordination costs</w:t>
            </w:r>
          </w:p>
          <w:p w:rsidR="00E535A0" w:rsidRDefault="00E535A0">
            <w:pPr>
              <w:spacing w:after="0" w:line="240" w:lineRule="auto"/>
              <w:jc w:val="both"/>
              <w:rPr>
                <w:rFonts w:ascii="Times New Roman" w:eastAsia="Batang" w:hAnsi="Times New Roman" w:cs="Times New Roman"/>
                <w:b/>
                <w:noProof/>
                <w:sz w:val="24"/>
                <w:szCs w:val="24"/>
                <w:lang w:eastAsia="de-DE"/>
              </w:rPr>
            </w:pPr>
          </w:p>
        </w:tc>
        <w:tc>
          <w:tcPr>
            <w:tcW w:w="5545" w:type="dxa"/>
            <w:shd w:val="clear" w:color="auto" w:fill="auto"/>
          </w:tcPr>
          <w:p w:rsidR="00E535A0" w:rsidRDefault="00C953F5">
            <w:pPr>
              <w:spacing w:after="0" w:line="240" w:lineRule="auto"/>
              <w:jc w:val="both"/>
              <w:rPr>
                <w:rFonts w:ascii="Times New Roman" w:eastAsia="Batang" w:hAnsi="Times New Roman" w:cs="Times New Roman"/>
                <w:noProof/>
                <w:sz w:val="24"/>
                <w:szCs w:val="24"/>
                <w:lang w:eastAsia="de-DE"/>
              </w:rPr>
            </w:pPr>
            <w:r>
              <w:rPr>
                <w:rFonts w:ascii="Times New Roman" w:eastAsia="Batang" w:hAnsi="Times New Roman" w:cs="Times New Roman"/>
                <w:noProof/>
                <w:sz w:val="24"/>
                <w:szCs w:val="24"/>
                <w:lang w:eastAsia="de-DE"/>
              </w:rPr>
              <w:t>The coordination costs of agreeing priorities for, setting u</w:t>
            </w:r>
            <w:r>
              <w:rPr>
                <w:rFonts w:ascii="Times New Roman" w:eastAsia="Batang" w:hAnsi="Times New Roman" w:cs="Times New Roman"/>
                <w:noProof/>
                <w:sz w:val="24"/>
                <w:szCs w:val="24"/>
                <w:lang w:eastAsia="de-DE"/>
              </w:rPr>
              <w:t>p and managing major, transnational public-public or public–private joint ventures, joint programmes, cooperation platforms, networks or consortia can be large (though the benefits may still outweigh the costs).  However by operating a bottom-up competitio</w:t>
            </w:r>
            <w:r>
              <w:rPr>
                <w:rFonts w:ascii="Times New Roman" w:eastAsia="Batang" w:hAnsi="Times New Roman" w:cs="Times New Roman"/>
                <w:noProof/>
                <w:sz w:val="24"/>
                <w:szCs w:val="24"/>
                <w:lang w:eastAsia="de-DE"/>
              </w:rPr>
              <w:t>n (soliciting investigator-driven projects on any topic) evaluated on the sole criterion of excellence the ERC's coordination costs are very low in comparison. It is unlikely that any alternate delivery mechanism such as an intergovernmental approach or sy</w:t>
            </w:r>
            <w:r>
              <w:rPr>
                <w:rFonts w:ascii="Times New Roman" w:eastAsia="Batang" w:hAnsi="Times New Roman" w:cs="Times New Roman"/>
                <w:noProof/>
                <w:sz w:val="24"/>
                <w:szCs w:val="24"/>
                <w:lang w:eastAsia="de-DE"/>
              </w:rPr>
              <w:t>stem of bilateral or multilateral agreements could achieve the same objectives with the same degree of efficiency, if in fact agreement could be reached on such an approach at all.</w:t>
            </w:r>
          </w:p>
          <w:p w:rsidR="00E535A0" w:rsidRDefault="00E535A0">
            <w:pPr>
              <w:spacing w:after="0" w:line="240" w:lineRule="auto"/>
              <w:jc w:val="both"/>
              <w:rPr>
                <w:rFonts w:ascii="Times New Roman" w:eastAsia="Batang" w:hAnsi="Times New Roman" w:cs="Times New Roman"/>
                <w:noProof/>
                <w:sz w:val="24"/>
                <w:szCs w:val="24"/>
                <w:lang w:eastAsia="de-DE"/>
              </w:rPr>
            </w:pPr>
          </w:p>
        </w:tc>
      </w:tr>
    </w:tbl>
    <w:p w:rsidR="00E535A0" w:rsidRDefault="00E535A0">
      <w:pPr>
        <w:suppressAutoHyphens/>
        <w:spacing w:after="0" w:line="240" w:lineRule="auto"/>
        <w:jc w:val="both"/>
        <w:rPr>
          <w:rFonts w:ascii="Times New Roman" w:eastAsia="Times New Roman" w:hAnsi="Times New Roman" w:cs="Times New Roman"/>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Furthermore, evidence shows that ERC funding allows researchers </w:t>
      </w:r>
      <w:r>
        <w:rPr>
          <w:rFonts w:ascii="Times New Roman" w:eastAsia="Times New Roman" w:hAnsi="Times New Roman" w:cs="Times New Roman"/>
          <w:b/>
          <w:noProof/>
          <w:sz w:val="24"/>
          <w:szCs w:val="24"/>
          <w:lang w:eastAsia="de-DE"/>
        </w:rPr>
        <w:t xml:space="preserve">to do </w:t>
      </w:r>
      <w:r>
        <w:rPr>
          <w:rFonts w:ascii="Times New Roman" w:eastAsia="Times New Roman" w:hAnsi="Times New Roman" w:cs="Times New Roman"/>
          <w:b/>
          <w:noProof/>
          <w:sz w:val="24"/>
          <w:szCs w:val="24"/>
          <w:lang w:eastAsia="de-DE"/>
        </w:rPr>
        <w:t>better research</w:t>
      </w:r>
      <w:r>
        <w:rPr>
          <w:rFonts w:ascii="Times New Roman" w:eastAsia="Times New Roman" w:hAnsi="Times New Roman" w:cs="Times New Roman"/>
          <w:noProof/>
          <w:sz w:val="24"/>
          <w:szCs w:val="24"/>
          <w:lang w:eastAsia="de-DE"/>
        </w:rPr>
        <w:t xml:space="preserve">. Further evidence comes from a study which directly asked ERC grantees whether ERC funding allowed them to carry out work which would not have been possible without ERC funding. </w:t>
      </w:r>
    </w:p>
    <w:p w:rsidR="00E535A0" w:rsidRDefault="00C953F5">
      <w:p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val="de-DE" w:eastAsia="de-DE"/>
        </w:rPr>
        <w:drawing>
          <wp:inline distT="0" distB="0" distL="0" distR="0">
            <wp:extent cx="5760720" cy="32251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20.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3225165"/>
                    </a:xfrm>
                    <a:prstGeom prst="rect">
                      <a:avLst/>
                    </a:prstGeom>
                  </pic:spPr>
                </pic:pic>
              </a:graphicData>
            </a:graphic>
          </wp:inline>
        </w:drawing>
      </w:r>
    </w:p>
    <w:p w:rsidR="00E535A0" w:rsidRDefault="00C953F5">
      <w:pPr>
        <w:suppressAutoHyphens/>
        <w:spacing w:after="0" w:line="240" w:lineRule="auto"/>
        <w:jc w:val="center"/>
        <w:rPr>
          <w:rFonts w:ascii="Times New Roman" w:eastAsia="Times New Roman" w:hAnsi="Times New Roman" w:cs="Times New Roman"/>
          <w:b/>
          <w:bCs/>
          <w:iCs/>
          <w:noProof/>
          <w:szCs w:val="24"/>
          <w:lang w:eastAsia="de-DE"/>
        </w:rPr>
      </w:pPr>
      <w:r>
        <w:rPr>
          <w:rFonts w:ascii="Times New Roman" w:eastAsia="Times New Roman" w:hAnsi="Times New Roman" w:cs="Times New Roman"/>
          <w:b/>
          <w:bCs/>
          <w:iCs/>
          <w:noProof/>
          <w:szCs w:val="24"/>
          <w:lang w:eastAsia="de-DE"/>
        </w:rPr>
        <w:t>Attractive features of national and ERC funding (percentage</w:t>
      </w:r>
      <w:r>
        <w:rPr>
          <w:rFonts w:ascii="Times New Roman" w:eastAsia="Times New Roman" w:hAnsi="Times New Roman" w:cs="Times New Roman"/>
          <w:b/>
          <w:bCs/>
          <w:iCs/>
          <w:noProof/>
          <w:szCs w:val="24"/>
          <w:lang w:eastAsia="de-DE"/>
        </w:rPr>
        <w:t xml:space="preserve"> of respondents)</w:t>
      </w:r>
      <w:r>
        <w:rPr>
          <w:rFonts w:ascii="Times New Roman" w:eastAsia="Times New Roman" w:hAnsi="Times New Roman" w:cs="Times New Roman"/>
          <w:b/>
          <w:bCs/>
          <w:iCs/>
          <w:noProof/>
          <w:szCs w:val="24"/>
          <w:vertAlign w:val="superscript"/>
          <w:lang w:eastAsia="de-DE"/>
        </w:rPr>
        <w:footnoteReference w:id="22"/>
      </w:r>
    </w:p>
    <w:p w:rsidR="00E535A0" w:rsidRDefault="00E535A0">
      <w:pPr>
        <w:suppressAutoHyphens/>
        <w:spacing w:after="0" w:line="240" w:lineRule="auto"/>
        <w:jc w:val="center"/>
        <w:rPr>
          <w:rFonts w:ascii="Times New Roman" w:eastAsia="Times New Roman" w:hAnsi="Times New Roman" w:cs="Times New Roman"/>
          <w:noProof/>
          <w:szCs w:val="24"/>
          <w:lang w:eastAsia="de-DE"/>
        </w:rPr>
      </w:pPr>
    </w:p>
    <w:p w:rsidR="00E535A0" w:rsidRDefault="00C953F5">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Another study, MERCI, showed that ERC grantees were able to allocate significantly more of their working time to their research. </w:t>
      </w:r>
      <w:r>
        <w:rPr>
          <w:rFonts w:ascii="Times New Roman" w:eastAsia="Times New Roman" w:hAnsi="Times New Roman" w:cs="Times New Roman"/>
          <w:bCs/>
          <w:noProof/>
          <w:sz w:val="24"/>
          <w:szCs w:val="24"/>
          <w:lang w:eastAsia="de-DE"/>
        </w:rPr>
        <w:t>This shows that wi</w:t>
      </w:r>
      <w:r>
        <w:rPr>
          <w:rFonts w:ascii="Times New Roman" w:eastAsia="Times New Roman" w:hAnsi="Times New Roman" w:cs="Times New Roman"/>
          <w:noProof/>
          <w:sz w:val="24"/>
          <w:szCs w:val="24"/>
          <w:lang w:eastAsia="de-DE"/>
        </w:rPr>
        <w:t xml:space="preserve">th grants which can go up to 3.5 million for up to five years, researchers can really </w:t>
      </w:r>
      <w:r>
        <w:rPr>
          <w:rFonts w:ascii="Times New Roman" w:eastAsia="Times New Roman" w:hAnsi="Times New Roman" w:cs="Times New Roman"/>
          <w:noProof/>
          <w:sz w:val="24"/>
          <w:szCs w:val="24"/>
          <w:lang w:eastAsia="de-DE"/>
        </w:rPr>
        <w:t>focus on the core of their research with the aim that it leads to radical breakthroughs.</w:t>
      </w:r>
    </w:p>
    <w:p w:rsidR="00E535A0" w:rsidRDefault="00E535A0">
      <w:pPr>
        <w:spacing w:after="240" w:line="240" w:lineRule="auto"/>
        <w:jc w:val="both"/>
        <w:rPr>
          <w:rFonts w:ascii="Times New Roman" w:eastAsia="Calibri" w:hAnsi="Times New Roman" w:cs="Times New Roman"/>
          <w:b/>
          <w:noProof/>
          <w:sz w:val="24"/>
          <w:szCs w:val="24"/>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To what extent the results of Ideas SP contribute to the achievements of the new Commission's priorities?</w:t>
      </w:r>
    </w:p>
    <w:p w:rsidR="00E535A0" w:rsidRDefault="00C953F5">
      <w:pPr>
        <w:suppressAutoHyphens/>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val="en" w:eastAsia="ar-SA"/>
        </w:rPr>
        <w:t xml:space="preserve">The Juncker Commission’s top priority is to get Europe growing again and to increase the number of jobs without creating new debt. </w:t>
      </w:r>
      <w:r>
        <w:rPr>
          <w:rFonts w:ascii="Times New Roman" w:eastAsia="Times New Roman" w:hAnsi="Times New Roman" w:cs="Times New Roman"/>
          <w:noProof/>
          <w:sz w:val="24"/>
          <w:szCs w:val="24"/>
          <w:lang w:eastAsia="ar-SA"/>
        </w:rPr>
        <w:t xml:space="preserve">The main role of the ERC in contributing to job creation is its role in creating </w:t>
      </w:r>
      <w:r>
        <w:rPr>
          <w:rFonts w:ascii="Times New Roman" w:eastAsia="Times New Roman" w:hAnsi="Times New Roman" w:cs="Times New Roman"/>
          <w:noProof/>
          <w:sz w:val="24"/>
          <w:szCs w:val="24"/>
          <w:lang w:val="en" w:eastAsia="ar-SA"/>
        </w:rPr>
        <w:t>the new knowledge that will create whole new</w:t>
      </w:r>
      <w:r>
        <w:rPr>
          <w:rFonts w:ascii="Times New Roman" w:eastAsia="Times New Roman" w:hAnsi="Times New Roman" w:cs="Times New Roman"/>
          <w:noProof/>
          <w:sz w:val="24"/>
          <w:szCs w:val="24"/>
          <w:lang w:val="en" w:eastAsia="ar-SA"/>
        </w:rPr>
        <w:t xml:space="preserve"> sectors and industries to provide high quality jobs, and drive future productivity and growth. </w:t>
      </w:r>
    </w:p>
    <w:p w:rsidR="00E535A0" w:rsidRDefault="00C953F5">
      <w:pPr>
        <w:suppressAutoHyphens/>
        <w:spacing w:after="0" w:line="240" w:lineRule="auto"/>
        <w:jc w:val="both"/>
        <w:rPr>
          <w:rFonts w:ascii="Times New Roman" w:eastAsia="Times New Roman" w:hAnsi="Times New Roman" w:cs="Times New Roman"/>
          <w:noProof/>
          <w:sz w:val="24"/>
          <w:szCs w:val="24"/>
          <w:lang w:val="en" w:eastAsia="ar-SA"/>
        </w:rPr>
      </w:pPr>
      <w:r>
        <w:rPr>
          <w:rFonts w:ascii="Times New Roman" w:eastAsia="Times New Roman" w:hAnsi="Times New Roman" w:cs="Times New Roman"/>
          <w:noProof/>
          <w:sz w:val="24"/>
          <w:szCs w:val="24"/>
          <w:lang w:val="en" w:eastAsia="ar-SA"/>
        </w:rPr>
        <w:t>The special role of ERC funding was acknowledged during the adoption process for the Investment Plan for Europe where ERC did not receive any cut to its fundin</w:t>
      </w:r>
      <w:r>
        <w:rPr>
          <w:rFonts w:ascii="Times New Roman" w:eastAsia="Times New Roman" w:hAnsi="Times New Roman" w:cs="Times New Roman"/>
          <w:noProof/>
          <w:sz w:val="24"/>
          <w:szCs w:val="24"/>
          <w:lang w:val="en" w:eastAsia="ar-SA"/>
        </w:rPr>
        <w:t xml:space="preserve">g from the levels agreed in the Horizon 2020 legislation along with the </w:t>
      </w:r>
      <w:hyperlink r:id="rId41" w:history="1">
        <w:r>
          <w:rPr>
            <w:rFonts w:ascii="Times New Roman" w:eastAsia="Times New Roman" w:hAnsi="Times New Roman" w:cs="Times New Roman"/>
            <w:noProof/>
            <w:sz w:val="24"/>
            <w:szCs w:val="24"/>
            <w:u w:val="single"/>
            <w:lang w:eastAsia="ar-SA"/>
          </w:rPr>
          <w:t xml:space="preserve">Marie </w:t>
        </w:r>
        <w:r>
          <w:rPr>
            <w:rFonts w:ascii="Times New Roman" w:eastAsia="Times New Roman" w:hAnsi="Times New Roman" w:cs="Times New Roman"/>
            <w:bCs/>
            <w:iCs/>
            <w:noProof/>
            <w:sz w:val="24"/>
            <w:szCs w:val="24"/>
            <w:u w:val="single"/>
            <w:lang w:eastAsia="ar-SA"/>
          </w:rPr>
          <w:t>Sklodowska</w:t>
        </w:r>
        <w:r>
          <w:rPr>
            <w:rFonts w:ascii="Times New Roman" w:eastAsia="Times New Roman" w:hAnsi="Times New Roman" w:cs="Times New Roman"/>
            <w:noProof/>
            <w:sz w:val="24"/>
            <w:szCs w:val="24"/>
            <w:u w:val="single"/>
            <w:lang w:eastAsia="ar-SA"/>
          </w:rPr>
          <w:t>-Curie</w:t>
        </w:r>
      </w:hyperlink>
      <w:r>
        <w:rPr>
          <w:rFonts w:ascii="Times New Roman" w:eastAsia="Times New Roman" w:hAnsi="Times New Roman" w:cs="Times New Roman"/>
          <w:noProof/>
          <w:sz w:val="24"/>
          <w:szCs w:val="24"/>
          <w:lang w:val="en" w:eastAsia="ar-SA"/>
        </w:rPr>
        <w:t xml:space="preserve"> and widening participation</w:t>
      </w:r>
      <w:r>
        <w:rPr>
          <w:rFonts w:ascii="Times New Roman" w:eastAsia="Times New Roman" w:hAnsi="Times New Roman" w:cs="Times New Roman"/>
          <w:noProof/>
          <w:sz w:val="24"/>
          <w:szCs w:val="24"/>
          <w:lang w:val="en" w:eastAsia="ar-SA"/>
        </w:rPr>
        <w:t xml:space="preserve"> actions.</w:t>
      </w:r>
    </w:p>
    <w:p w:rsidR="00E535A0" w:rsidRDefault="00E535A0">
      <w:pPr>
        <w:suppressAutoHyphens/>
        <w:spacing w:after="0" w:line="240" w:lineRule="auto"/>
        <w:jc w:val="both"/>
        <w:rPr>
          <w:rFonts w:ascii="Times New Roman" w:eastAsia="Times New Roman" w:hAnsi="Times New Roman" w:cs="Times New Roman"/>
          <w:b/>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 addition in June 2015the Commissioner for Research, Science and Innovation gave his assessment of the challenges facing Europe and his objectives and his priorities.</w:t>
      </w:r>
    </w:p>
    <w:p w:rsidR="00E535A0" w:rsidRDefault="00E535A0">
      <w:pPr>
        <w:suppressAutoHyphens/>
        <w:spacing w:after="0" w:line="240" w:lineRule="auto"/>
        <w:jc w:val="both"/>
        <w:rPr>
          <w:rFonts w:ascii="Times New Roman" w:eastAsia="Times New Roman" w:hAnsi="Times New Roman" w:cs="Times New Roman"/>
          <w:b/>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Open Innovation</w:t>
      </w:r>
    </w:p>
    <w:p w:rsidR="00E535A0" w:rsidRDefault="00C953F5">
      <w:pPr>
        <w:suppressAutoHyphens/>
        <w:spacing w:after="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noProof/>
          <w:sz w:val="24"/>
          <w:szCs w:val="24"/>
          <w:lang w:eastAsia="de-DE"/>
        </w:rPr>
        <w:t xml:space="preserve">The European Research Council funds “frontier research” in </w:t>
      </w:r>
      <w:r>
        <w:rPr>
          <w:rFonts w:ascii="Times New Roman" w:eastAsia="Times New Roman" w:hAnsi="Times New Roman" w:cs="Times New Roman"/>
          <w:noProof/>
          <w:sz w:val="24"/>
          <w:szCs w:val="24"/>
          <w:lang w:eastAsia="de-DE"/>
        </w:rPr>
        <w:t xml:space="preserve">recognition that, </w:t>
      </w:r>
      <w:r>
        <w:rPr>
          <w:rFonts w:ascii="Times New Roman" w:eastAsia="Times New Roman" w:hAnsi="Times New Roman" w:cs="Times New Roman"/>
          <w:i/>
          <w:noProof/>
          <w:sz w:val="24"/>
          <w:szCs w:val="24"/>
          <w:lang w:eastAsia="de-DE"/>
        </w:rPr>
        <w:t>“classical distinctions between basic and applied research have lost much of their relevance at a time when many emerging areas of science and technology (e.g. biotechnology, ICT, materials and nanotechnology, and cognitive sciences) ofte</w:t>
      </w:r>
      <w:r>
        <w:rPr>
          <w:rFonts w:ascii="Times New Roman" w:eastAsia="Times New Roman" w:hAnsi="Times New Roman" w:cs="Times New Roman"/>
          <w:i/>
          <w:noProof/>
          <w:sz w:val="24"/>
          <w:szCs w:val="24"/>
          <w:lang w:eastAsia="de-DE"/>
        </w:rPr>
        <w:t xml:space="preserve">n embrace substantial elements of both.” </w:t>
      </w:r>
      <w:r>
        <w:rPr>
          <w:rFonts w:ascii="Times New Roman" w:eastAsia="Times New Roman" w:hAnsi="Times New Roman" w:cs="Times New Roman"/>
          <w:noProof/>
          <w:sz w:val="24"/>
          <w:szCs w:val="24"/>
          <w:lang w:eastAsia="de-DE"/>
        </w:rPr>
        <w:t xml:space="preserve">Frontier research often generates unexpected or new opportunities for commercial or societal application from the immediate term to the very long term. The ERC Scientific Council explicitly recognised the frontier </w:t>
      </w:r>
      <w:r>
        <w:rPr>
          <w:rFonts w:ascii="Times New Roman" w:eastAsia="Times New Roman" w:hAnsi="Times New Roman" w:cs="Times New Roman"/>
          <w:noProof/>
          <w:sz w:val="24"/>
          <w:szCs w:val="24"/>
          <w:lang w:eastAsia="de-DE"/>
        </w:rPr>
        <w:t>nature of ERC funded research in 2011 by creating the Proof of Concept Grant (PoC)</w:t>
      </w:r>
      <w:r>
        <w:rPr>
          <w:rFonts w:ascii="Times New Roman" w:eastAsia="Times New Roman" w:hAnsi="Times New Roman" w:cs="Times New Roman"/>
          <w:bCs/>
          <w:noProof/>
          <w:sz w:val="24"/>
          <w:szCs w:val="24"/>
          <w:lang w:val="en-US" w:eastAsia="de-DE"/>
        </w:rPr>
        <w:t xml:space="preserve"> to explore the commercial and social potential of ideas arising from ERC grants. </w:t>
      </w:r>
      <w:r>
        <w:rPr>
          <w:rFonts w:ascii="Times New Roman" w:eastAsia="Times New Roman" w:hAnsi="Times New Roman" w:cs="Times New Roman"/>
          <w:bCs/>
          <w:noProof/>
          <w:sz w:val="24"/>
          <w:szCs w:val="24"/>
          <w:lang w:eastAsia="de-DE"/>
        </w:rPr>
        <w:t xml:space="preserve">Around 50% of the first 50 completed PoC projects reported at least one patent application. </w:t>
      </w:r>
      <w:r>
        <w:rPr>
          <w:rFonts w:ascii="Times New Roman" w:eastAsia="Times New Roman" w:hAnsi="Times New Roman" w:cs="Times New Roman"/>
          <w:bCs/>
          <w:noProof/>
          <w:sz w:val="24"/>
          <w:szCs w:val="24"/>
          <w:lang w:eastAsia="de-DE"/>
        </w:rPr>
        <w:t xml:space="preserve">In addition, 18% of them spun-out a new venture and 30% of them intended to use an existing or new spin-out to take forward their idea. </w:t>
      </w:r>
      <w:r>
        <w:rPr>
          <w:rFonts w:ascii="Times New Roman" w:eastAsia="Times New Roman" w:hAnsi="Times New Roman" w:cs="Times New Roman"/>
          <w:bCs/>
          <w:noProof/>
          <w:sz w:val="24"/>
          <w:szCs w:val="24"/>
          <w:u w:val="single"/>
          <w:lang w:val="en-US" w:eastAsia="de-DE"/>
        </w:rPr>
        <w:t>The PoC call in ERC Work Programme 2016 has a budget of €20 million with three deadlines</w:t>
      </w:r>
      <w:r>
        <w:rPr>
          <w:rFonts w:ascii="Times New Roman" w:eastAsia="Times New Roman" w:hAnsi="Times New Roman" w:cs="Times New Roman"/>
          <w:bCs/>
          <w:noProof/>
          <w:sz w:val="24"/>
          <w:szCs w:val="24"/>
          <w:lang w:val="en-US" w:eastAsia="de-DE"/>
        </w:rPr>
        <w:t>.</w:t>
      </w:r>
    </w:p>
    <w:p w:rsidR="00E535A0" w:rsidRDefault="00E535A0">
      <w:pPr>
        <w:suppressAutoHyphens/>
        <w:spacing w:after="0" w:line="240" w:lineRule="auto"/>
        <w:jc w:val="both"/>
        <w:rPr>
          <w:rFonts w:ascii="Times New Roman" w:eastAsia="Times New Roman" w:hAnsi="Times New Roman" w:cs="Times New Roman"/>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Open Science</w:t>
      </w:r>
    </w:p>
    <w:p w:rsidR="00E535A0" w:rsidRDefault="00C953F5">
      <w:p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ERC directly add</w:t>
      </w:r>
      <w:r>
        <w:rPr>
          <w:rFonts w:ascii="Times New Roman" w:eastAsia="Times New Roman" w:hAnsi="Times New Roman" w:cs="Times New Roman"/>
          <w:noProof/>
          <w:sz w:val="24"/>
          <w:szCs w:val="24"/>
          <w:lang w:eastAsia="de-DE"/>
        </w:rPr>
        <w:t xml:space="preserve">resses the Commissioner’s second strategic objective by boosting excellence in cutting-edge, fundamental research. </w:t>
      </w:r>
    </w:p>
    <w:p w:rsidR="00E535A0" w:rsidRDefault="00E535A0">
      <w:pPr>
        <w:suppressAutoHyphens/>
        <w:spacing w:after="0" w:line="240" w:lineRule="auto"/>
        <w:jc w:val="both"/>
        <w:rPr>
          <w:rFonts w:ascii="Times New Roman" w:eastAsia="Times New Roman" w:hAnsi="Times New Roman" w:cs="Times New Roman"/>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val="en-US" w:eastAsia="de-DE"/>
        </w:rPr>
        <w:t>T</w:t>
      </w:r>
      <w:r>
        <w:rPr>
          <w:rFonts w:ascii="Times New Roman" w:eastAsia="Times New Roman" w:hAnsi="Times New Roman" w:cs="Times New Roman"/>
          <w:noProof/>
          <w:sz w:val="24"/>
          <w:szCs w:val="24"/>
          <w:lang w:eastAsia="de-DE"/>
        </w:rPr>
        <w:t xml:space="preserve">he ERC also supports the principle of open access to the published output of research, including in particular peer-reviewed publications </w:t>
      </w:r>
      <w:r>
        <w:rPr>
          <w:rFonts w:ascii="Times New Roman" w:eastAsia="Times New Roman" w:hAnsi="Times New Roman" w:cs="Times New Roman"/>
          <w:noProof/>
          <w:sz w:val="24"/>
          <w:szCs w:val="24"/>
          <w:lang w:eastAsia="de-DE"/>
        </w:rPr>
        <w:t>as a fundamental part of its mission. It also supports the basic principle of open access to research data and data related products such as computer code. Under Horizon 2020, beneficiaries of ERC grants must ensure open access to all peer-reviewed scienti</w:t>
      </w:r>
      <w:r>
        <w:rPr>
          <w:rFonts w:ascii="Times New Roman" w:eastAsia="Times New Roman" w:hAnsi="Times New Roman" w:cs="Times New Roman"/>
          <w:noProof/>
          <w:sz w:val="24"/>
          <w:szCs w:val="24"/>
          <w:lang w:eastAsia="de-DE"/>
        </w:rPr>
        <w:t>fic publications relating to its results. The ERC recommends that all ERC funded researchers follow best practice in their research field and be prepared to share the data they have gathered and used in their project with other researchers whenever they ar</w:t>
      </w:r>
      <w:r>
        <w:rPr>
          <w:rFonts w:ascii="Times New Roman" w:eastAsia="Times New Roman" w:hAnsi="Times New Roman" w:cs="Times New Roman"/>
          <w:noProof/>
          <w:sz w:val="24"/>
          <w:szCs w:val="24"/>
          <w:lang w:eastAsia="de-DE"/>
        </w:rPr>
        <w:t>e not bound by copyright restrictions, confidentiality requirements, or contractual clauses.</w:t>
      </w:r>
      <w:r>
        <w:rPr>
          <w:rFonts w:ascii="Times New Roman" w:eastAsia="Times New Roman" w:hAnsi="Times New Roman" w:cs="Times New Roman"/>
          <w:noProof/>
          <w:sz w:val="24"/>
          <w:szCs w:val="24"/>
          <w:lang w:val="en-US" w:eastAsia="de-DE"/>
        </w:rPr>
        <w:t xml:space="preserve"> </w:t>
      </w:r>
      <w:r>
        <w:rPr>
          <w:rFonts w:ascii="Times New Roman" w:eastAsia="Times New Roman" w:hAnsi="Times New Roman" w:cs="Times New Roman"/>
          <w:noProof/>
          <w:sz w:val="24"/>
          <w:szCs w:val="24"/>
          <w:u w:val="single"/>
          <w:lang w:val="en-US" w:eastAsia="de-DE"/>
        </w:rPr>
        <w:t>Beneficiaries of ERC frontier research grants funded under ERC Work Programme 2016 may continue to opt-in, on an individual and voluntary basis, to the Horizon 202</w:t>
      </w:r>
      <w:r>
        <w:rPr>
          <w:rFonts w:ascii="Times New Roman" w:eastAsia="Times New Roman" w:hAnsi="Times New Roman" w:cs="Times New Roman"/>
          <w:noProof/>
          <w:sz w:val="24"/>
          <w:szCs w:val="24"/>
          <w:u w:val="single"/>
          <w:lang w:val="en-US" w:eastAsia="de-DE"/>
        </w:rPr>
        <w:t>0 Pilot on Open Research Data</w:t>
      </w:r>
      <w:r>
        <w:rPr>
          <w:rFonts w:ascii="Times New Roman" w:eastAsia="Times New Roman" w:hAnsi="Times New Roman" w:cs="Times New Roman"/>
          <w:noProof/>
          <w:sz w:val="24"/>
          <w:szCs w:val="24"/>
          <w:lang w:val="en-US" w:eastAsia="de-DE"/>
        </w:rPr>
        <w:t xml:space="preserve">. </w:t>
      </w:r>
    </w:p>
    <w:p w:rsidR="00E535A0" w:rsidRDefault="00E535A0">
      <w:pPr>
        <w:suppressAutoHyphens/>
        <w:spacing w:after="0" w:line="240" w:lineRule="auto"/>
        <w:jc w:val="both"/>
        <w:rPr>
          <w:rFonts w:ascii="Times New Roman" w:eastAsia="Times New Roman" w:hAnsi="Times New Roman" w:cs="Times New Roman"/>
          <w:noProof/>
          <w:sz w:val="24"/>
          <w:szCs w:val="24"/>
          <w:lang w:val="en-US" w:eastAsia="de-DE"/>
        </w:rPr>
      </w:pPr>
    </w:p>
    <w:p w:rsidR="00E535A0" w:rsidRDefault="00C953F5">
      <w:pPr>
        <w:suppressAutoHyphens/>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val="en-US" w:eastAsia="de-DE"/>
        </w:rPr>
        <w:t xml:space="preserve">In addition, the ERC currently provides funding for the European PubMed Central (since 2013 with the latest round of up to €850k for up to 72 months from the ERC Work Programme 2015) initiative, arXiv (a nominal annual fee </w:t>
      </w:r>
      <w:r>
        <w:rPr>
          <w:rFonts w:ascii="Times New Roman" w:eastAsia="Times New Roman" w:hAnsi="Times New Roman" w:cs="Times New Roman"/>
          <w:noProof/>
          <w:sz w:val="24"/>
          <w:szCs w:val="24"/>
          <w:lang w:val="en-US" w:eastAsia="de-DE"/>
        </w:rPr>
        <w:t>from the administrative budget) and the OAPEN initiative mainly covering open access books in the area of humanities and social sciences (50k for up to 24 months from the ERC Work Programme 2015).</w:t>
      </w:r>
    </w:p>
    <w:p w:rsidR="00E535A0" w:rsidRDefault="00E535A0">
      <w:pPr>
        <w:suppressAutoHyphens/>
        <w:spacing w:after="0" w:line="240" w:lineRule="auto"/>
        <w:jc w:val="both"/>
        <w:rPr>
          <w:rFonts w:ascii="Times New Roman" w:eastAsia="Times New Roman" w:hAnsi="Times New Roman" w:cs="Times New Roman"/>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b/>
          <w:i/>
          <w:iCs/>
          <w:noProof/>
          <w:sz w:val="24"/>
          <w:szCs w:val="24"/>
          <w:lang w:eastAsia="de-DE"/>
        </w:rPr>
      </w:pPr>
      <w:r>
        <w:rPr>
          <w:rFonts w:ascii="Times New Roman" w:eastAsia="Times New Roman" w:hAnsi="Times New Roman" w:cs="Times New Roman"/>
          <w:noProof/>
          <w:sz w:val="24"/>
          <w:szCs w:val="24"/>
          <w:lang w:eastAsia="de-DE"/>
        </w:rPr>
        <w:t>ERC also considers that it is essential to maintain and pr</w:t>
      </w:r>
      <w:r>
        <w:rPr>
          <w:rFonts w:ascii="Times New Roman" w:eastAsia="Times New Roman" w:hAnsi="Times New Roman" w:cs="Times New Roman"/>
          <w:noProof/>
          <w:sz w:val="24"/>
          <w:szCs w:val="24"/>
          <w:lang w:eastAsia="de-DE"/>
        </w:rPr>
        <w:t xml:space="preserve">omote a culture of research integrity at all stages of the evaluation and granting process to make ERC competitions fair and efficient and to maintain the trust of both the scientific community and society as a whole. </w:t>
      </w:r>
      <w:r>
        <w:rPr>
          <w:rFonts w:ascii="Times New Roman" w:eastAsia="Times New Roman" w:hAnsi="Times New Roman" w:cs="Times New Roman"/>
          <w:noProof/>
          <w:sz w:val="24"/>
          <w:szCs w:val="24"/>
          <w:u w:val="single"/>
          <w:lang w:eastAsia="de-DE"/>
        </w:rPr>
        <w:t>The Work Programme 2016</w:t>
      </w:r>
      <w:r>
        <w:rPr>
          <w:rFonts w:ascii="Times New Roman" w:eastAsia="Times New Roman" w:hAnsi="Times New Roman" w:cs="Times New Roman"/>
          <w:iCs/>
          <w:noProof/>
          <w:sz w:val="24"/>
          <w:szCs w:val="24"/>
          <w:u w:val="single"/>
          <w:lang w:eastAsia="de-DE"/>
        </w:rPr>
        <w:t xml:space="preserve"> introduces a n</w:t>
      </w:r>
      <w:r>
        <w:rPr>
          <w:rFonts w:ascii="Times New Roman" w:eastAsia="Times New Roman" w:hAnsi="Times New Roman" w:cs="Times New Roman"/>
          <w:iCs/>
          <w:noProof/>
          <w:sz w:val="24"/>
          <w:szCs w:val="24"/>
          <w:u w:val="single"/>
          <w:lang w:eastAsia="de-DE"/>
        </w:rPr>
        <w:t>ew restriction on applications for Principal Investigators whose proposals have been rejected on grounds of breach of research integrity.</w:t>
      </w:r>
      <w:r>
        <w:rPr>
          <w:rFonts w:ascii="Times New Roman" w:eastAsia="Times New Roman" w:hAnsi="Times New Roman" w:cs="Times New Roman"/>
          <w:b/>
          <w:i/>
          <w:iCs/>
          <w:noProof/>
          <w:sz w:val="24"/>
          <w:szCs w:val="24"/>
          <w:lang w:eastAsia="de-DE"/>
        </w:rPr>
        <w:t xml:space="preserve">  </w:t>
      </w:r>
    </w:p>
    <w:p w:rsidR="00E535A0" w:rsidRDefault="00E535A0">
      <w:pPr>
        <w:suppressAutoHyphens/>
        <w:spacing w:after="0" w:line="240" w:lineRule="auto"/>
        <w:jc w:val="both"/>
        <w:rPr>
          <w:rFonts w:ascii="Times New Roman" w:eastAsia="Times New Roman" w:hAnsi="Times New Roman" w:cs="Times New Roman"/>
          <w:noProof/>
          <w:sz w:val="24"/>
          <w:szCs w:val="24"/>
          <w:lang w:eastAsia="de-DE"/>
        </w:rPr>
      </w:pPr>
    </w:p>
    <w:p w:rsidR="00E535A0" w:rsidRDefault="00C953F5">
      <w:pPr>
        <w:suppressAutoHyphens/>
        <w:spacing w:after="0" w:line="240" w:lineRule="auto"/>
        <w:jc w:val="both"/>
        <w:rPr>
          <w:rFonts w:ascii="Times New Roman" w:eastAsia="Times New Roman" w:hAnsi="Times New Roman" w:cs="Times New Roman"/>
          <w:b/>
          <w:noProof/>
          <w:sz w:val="24"/>
          <w:szCs w:val="24"/>
          <w:lang w:eastAsia="de-DE"/>
        </w:rPr>
      </w:pPr>
      <w:r>
        <w:rPr>
          <w:rFonts w:ascii="Times New Roman" w:eastAsia="Times New Roman" w:hAnsi="Times New Roman" w:cs="Times New Roman"/>
          <w:b/>
          <w:noProof/>
          <w:sz w:val="24"/>
          <w:szCs w:val="24"/>
          <w:lang w:eastAsia="de-DE"/>
        </w:rPr>
        <w:t>Open World</w:t>
      </w:r>
    </w:p>
    <w:p w:rsidR="00E535A0" w:rsidRDefault="00C953F5">
      <w:pPr>
        <w:suppressAutoHyphens/>
        <w:spacing w:after="0" w:line="240" w:lineRule="auto"/>
        <w:jc w:val="both"/>
        <w:rPr>
          <w:rFonts w:ascii="Times New Roman" w:eastAsia="Times New Roman" w:hAnsi="Times New Roman" w:cs="Times New Roman"/>
          <w:bCs/>
          <w:iCs/>
          <w:noProof/>
          <w:sz w:val="24"/>
          <w:szCs w:val="24"/>
          <w:lang w:eastAsia="de-DE"/>
        </w:rPr>
      </w:pPr>
      <w:r>
        <w:rPr>
          <w:rFonts w:ascii="Times New Roman" w:eastAsia="Times New Roman" w:hAnsi="Times New Roman" w:cs="Times New Roman"/>
          <w:bCs/>
          <w:iCs/>
          <w:noProof/>
          <w:sz w:val="24"/>
          <w:szCs w:val="24"/>
          <w:lang w:eastAsia="de-DE"/>
        </w:rPr>
        <w:t xml:space="preserve">The ERC confers status and visibility on the best research leaders working in Europe and </w:t>
      </w:r>
      <w:r>
        <w:rPr>
          <w:rFonts w:ascii="Times New Roman" w:eastAsia="Times New Roman" w:hAnsi="Times New Roman" w:cs="Times New Roman"/>
          <w:noProof/>
          <w:sz w:val="24"/>
          <w:szCs w:val="24"/>
          <w:lang w:eastAsia="de-DE"/>
        </w:rPr>
        <w:t xml:space="preserve">offers </w:t>
      </w:r>
      <w:r>
        <w:rPr>
          <w:rFonts w:ascii="Times New Roman" w:eastAsia="Times New Roman" w:hAnsi="Times New Roman" w:cs="Times New Roman"/>
          <w:noProof/>
          <w:sz w:val="24"/>
          <w:szCs w:val="24"/>
          <w:lang w:eastAsia="de-DE"/>
        </w:rPr>
        <w:t>attractive funding conditions which help to attract and retain outstanding researchers in the ERA</w:t>
      </w:r>
      <w:r>
        <w:rPr>
          <w:rFonts w:ascii="Times New Roman" w:eastAsia="Times New Roman" w:hAnsi="Times New Roman" w:cs="Times New Roman"/>
          <w:bCs/>
          <w:iCs/>
          <w:noProof/>
          <w:sz w:val="24"/>
          <w:szCs w:val="24"/>
          <w:lang w:eastAsia="de-DE"/>
        </w:rPr>
        <w:t xml:space="preserve">. </w:t>
      </w:r>
      <w:r>
        <w:rPr>
          <w:rFonts w:ascii="Times New Roman" w:eastAsia="Times New Roman" w:hAnsi="Times New Roman" w:cs="Times New Roman"/>
          <w:noProof/>
          <w:sz w:val="24"/>
          <w:szCs w:val="24"/>
          <w:lang w:eastAsia="de-DE"/>
        </w:rPr>
        <w:t>The ERC actions are open to researchers of any nationality who intend to conduct their research activity in any Member State or Associated Country. Principal</w:t>
      </w:r>
      <w:r>
        <w:rPr>
          <w:rFonts w:ascii="Times New Roman" w:eastAsia="Times New Roman" w:hAnsi="Times New Roman" w:cs="Times New Roman"/>
          <w:noProof/>
          <w:sz w:val="24"/>
          <w:szCs w:val="24"/>
          <w:lang w:eastAsia="de-DE"/>
        </w:rPr>
        <w:t xml:space="preserve"> Investigators may be of any age and nationality and may reside in any country in the world at the time of the application. </w:t>
      </w:r>
      <w:r>
        <w:rPr>
          <w:rFonts w:ascii="Times New Roman" w:eastAsia="Times New Roman" w:hAnsi="Times New Roman" w:cs="Times New Roman"/>
          <w:noProof/>
          <w:sz w:val="24"/>
          <w:szCs w:val="24"/>
          <w:u w:val="single"/>
          <w:lang w:eastAsia="de-DE"/>
        </w:rPr>
        <w:t>Under Work Programme 2016 the following features are maintained: additional “start-up” funding is available for scientists moving to</w:t>
      </w:r>
      <w:r>
        <w:rPr>
          <w:rFonts w:ascii="Times New Roman" w:eastAsia="Times New Roman" w:hAnsi="Times New Roman" w:cs="Times New Roman"/>
          <w:noProof/>
          <w:sz w:val="24"/>
          <w:szCs w:val="24"/>
          <w:u w:val="single"/>
          <w:lang w:eastAsia="de-DE"/>
        </w:rPr>
        <w:t xml:space="preserve"> Europe (EUR 500 000 for Starting and EUR 1 Million for Advanced Grantees); the ERC funded Principal Investigator can keep their affiliation with their home institute outside Europe; team members can be based outside Europe; the ERC funded Principal Invest</w:t>
      </w:r>
      <w:r>
        <w:rPr>
          <w:rFonts w:ascii="Times New Roman" w:eastAsia="Times New Roman" w:hAnsi="Times New Roman" w:cs="Times New Roman"/>
          <w:noProof/>
          <w:sz w:val="24"/>
          <w:szCs w:val="24"/>
          <w:u w:val="single"/>
          <w:lang w:eastAsia="de-DE"/>
        </w:rPr>
        <w:t>igator can move within Europe with the grant (portability).</w:t>
      </w:r>
      <w:r>
        <w:rPr>
          <w:rFonts w:ascii="Times New Roman" w:eastAsia="Times New Roman" w:hAnsi="Times New Roman" w:cs="Times New Roman"/>
          <w:noProof/>
          <w:sz w:val="24"/>
          <w:szCs w:val="24"/>
          <w:lang w:eastAsia="de-DE"/>
        </w:rPr>
        <w:t xml:space="preserve"> </w:t>
      </w:r>
    </w:p>
    <w:p w:rsidR="00E535A0" w:rsidRDefault="00E535A0">
      <w:pPr>
        <w:suppressAutoHyphens/>
        <w:spacing w:after="0" w:line="240" w:lineRule="auto"/>
        <w:jc w:val="both"/>
        <w:rPr>
          <w:rFonts w:ascii="Times New Roman" w:eastAsia="Times New Roman" w:hAnsi="Times New Roman" w:cs="Times New Roman"/>
          <w:noProof/>
          <w:sz w:val="24"/>
          <w:szCs w:val="24"/>
          <w:lang w:eastAsia="de-DE"/>
        </w:rPr>
      </w:pPr>
    </w:p>
    <w:p w:rsidR="00E535A0" w:rsidRDefault="00C953F5">
      <w:pPr>
        <w:spacing w:after="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noProof/>
          <w:sz w:val="24"/>
          <w:szCs w:val="24"/>
          <w:lang w:eastAsia="de-DE"/>
        </w:rPr>
        <w:t>Outside of the Work Programme the Commission has signed Implementing Arrangements with several funding agencies outside Europe to allow excellent young researchers from those countries to come t</w:t>
      </w:r>
      <w:r>
        <w:rPr>
          <w:rFonts w:ascii="Times New Roman" w:eastAsia="Times New Roman" w:hAnsi="Times New Roman" w:cs="Times New Roman"/>
          <w:noProof/>
          <w:sz w:val="24"/>
          <w:szCs w:val="24"/>
          <w:lang w:eastAsia="de-DE"/>
        </w:rPr>
        <w:t>o Europe and become part of ERC teams. In 2015 so far three such arrangements have been signed with the authorities in Argentina, Japan, and China in addition to existing agreements with bodies in USA and South Korea. The ERC takes part alongside the Commi</w:t>
      </w:r>
      <w:r>
        <w:rPr>
          <w:rFonts w:ascii="Times New Roman" w:eastAsia="Times New Roman" w:hAnsi="Times New Roman" w:cs="Times New Roman"/>
          <w:noProof/>
          <w:sz w:val="24"/>
          <w:szCs w:val="24"/>
          <w:lang w:eastAsia="de-DE"/>
        </w:rPr>
        <w:t>ssion in the annual meetings of the Global Research Council since its inception in 2012..</w:t>
      </w:r>
    </w:p>
    <w:p w:rsidR="00E535A0" w:rsidRDefault="00E535A0">
      <w:pPr>
        <w:spacing w:after="0" w:line="240" w:lineRule="auto"/>
        <w:jc w:val="both"/>
        <w:rPr>
          <w:rFonts w:ascii="Times New Roman" w:eastAsia="Times New Roman" w:hAnsi="Times New Roman" w:cs="Times New Roman"/>
          <w:b/>
          <w:noProof/>
          <w:sz w:val="24"/>
          <w:szCs w:val="24"/>
          <w:lang w:eastAsia="ar-SA"/>
        </w:rPr>
      </w:pP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Ideas SP in H2020: continuity or evolution?</w:t>
      </w:r>
    </w:p>
    <w:p w:rsidR="00E535A0" w:rsidRDefault="00C953F5">
      <w:pPr>
        <w:suppressAutoHyphens/>
        <w:spacing w:after="0" w:line="240" w:lineRule="auto"/>
        <w:jc w:val="both"/>
        <w:rPr>
          <w:rFonts w:ascii="Times New Roman" w:eastAsia="Times New Roman" w:hAnsi="Times New Roman" w:cs="Times New Roman"/>
          <w:bCs/>
          <w:noProof/>
          <w:sz w:val="24"/>
          <w:szCs w:val="24"/>
          <w:lang w:eastAsia="de-DE"/>
        </w:rPr>
      </w:pPr>
      <w:r>
        <w:rPr>
          <w:rFonts w:ascii="Times New Roman" w:eastAsia="Times New Roman" w:hAnsi="Times New Roman" w:cs="Times New Roman"/>
          <w:bCs/>
          <w:noProof/>
          <w:sz w:val="24"/>
          <w:szCs w:val="24"/>
          <w:lang w:eastAsia="de-DE"/>
        </w:rPr>
        <w:t xml:space="preserve">Competition for ERC grants has been intense. Success rates in ERC competitions with an average of 10.5% over FP7, are </w:t>
      </w:r>
      <w:r>
        <w:rPr>
          <w:rFonts w:ascii="Times New Roman" w:eastAsia="Times New Roman" w:hAnsi="Times New Roman" w:cs="Times New Roman"/>
          <w:bCs/>
          <w:noProof/>
          <w:sz w:val="24"/>
          <w:szCs w:val="24"/>
          <w:lang w:eastAsia="de-DE"/>
        </w:rPr>
        <w:t>around half those of any other FP7 Specific Programme, including the Marie-Curie actions (SP “People”). ERC success rates are also well below those of other comparable funding organisations. The ERC has funded a tiny proportion of the researchers in the EU</w:t>
      </w:r>
      <w:r>
        <w:rPr>
          <w:rFonts w:ascii="Times New Roman" w:eastAsia="Times New Roman" w:hAnsi="Times New Roman" w:cs="Times New Roman"/>
          <w:bCs/>
          <w:noProof/>
          <w:sz w:val="24"/>
          <w:szCs w:val="24"/>
          <w:lang w:eastAsia="de-DE"/>
        </w:rPr>
        <w:t xml:space="preserve"> but also a relatively small proportion of the best researchers in the EU. This suggests that the ERC could absorb a significantly higher budget and still fund excellent research.</w:t>
      </w:r>
    </w:p>
    <w:p w:rsidR="00E535A0" w:rsidRDefault="00C953F5">
      <w:pPr>
        <w:suppressAutoHyphens/>
        <w:spacing w:after="0" w:line="240" w:lineRule="auto"/>
        <w:jc w:val="both"/>
        <w:rPr>
          <w:rFonts w:ascii="Times New Roman" w:eastAsia="Times New Roman" w:hAnsi="Times New Roman" w:cs="Times New Roman"/>
          <w:bCs/>
          <w:noProof/>
          <w:sz w:val="24"/>
          <w:szCs w:val="24"/>
          <w:lang w:eastAsia="de-DE"/>
        </w:rPr>
      </w:pPr>
      <w:r>
        <w:rPr>
          <w:rFonts w:ascii="Times New Roman" w:eastAsia="Times New Roman" w:hAnsi="Times New Roman" w:cs="Times New Roman"/>
          <w:bCs/>
          <w:noProof/>
          <w:sz w:val="24"/>
          <w:szCs w:val="24"/>
          <w:lang w:eastAsia="de-DE"/>
        </w:rPr>
        <w:t>In addition to the mid-term evaluation of FP7 which looked at the ERC, there</w:t>
      </w:r>
      <w:r>
        <w:rPr>
          <w:rFonts w:ascii="Times New Roman" w:eastAsia="Times New Roman" w:hAnsi="Times New Roman" w:cs="Times New Roman"/>
          <w:bCs/>
          <w:noProof/>
          <w:sz w:val="24"/>
          <w:szCs w:val="24"/>
          <w:lang w:eastAsia="de-DE"/>
        </w:rPr>
        <w:t xml:space="preserve"> was also a specific review of the ERC’s structures and mechanisms in 2009 and a further ERC Taskforce in 2011. The conclusions of both these reviews fed into the Horizon 2020 legislation. In particular, the scientific governance of the ERC was strengthene</w:t>
      </w:r>
      <w:r>
        <w:rPr>
          <w:rFonts w:ascii="Times New Roman" w:eastAsia="Times New Roman" w:hAnsi="Times New Roman" w:cs="Times New Roman"/>
          <w:bCs/>
          <w:noProof/>
          <w:sz w:val="24"/>
          <w:szCs w:val="24"/>
          <w:lang w:eastAsia="de-DE"/>
        </w:rPr>
        <w:t>d in Horizon 2020 by merging the positions of President of ERC and Secretary General; establishing a full-time President based in Brussels; three Vice-Chairs elected from amongst the Scientific Council members. There were further modifications in the Horiz</w:t>
      </w:r>
      <w:r>
        <w:rPr>
          <w:rFonts w:ascii="Times New Roman" w:eastAsia="Times New Roman" w:hAnsi="Times New Roman" w:cs="Times New Roman"/>
          <w:bCs/>
          <w:noProof/>
          <w:sz w:val="24"/>
          <w:szCs w:val="24"/>
          <w:lang w:eastAsia="de-DE"/>
        </w:rPr>
        <w:t>on 2020 legislation including recognition of the ERC Board and more explicit references to the responsibilities of the ScC and where it is necessary to take into account its positions.</w:t>
      </w:r>
    </w:p>
    <w:p w:rsidR="00E535A0" w:rsidRDefault="00C953F5">
      <w:pPr>
        <w:spacing w:after="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bCs/>
          <w:noProof/>
          <w:sz w:val="24"/>
          <w:szCs w:val="24"/>
          <w:lang w:eastAsia="de-DE"/>
        </w:rPr>
        <w:t xml:space="preserve">The documents and reports from these reviews can be found here: </w:t>
      </w:r>
      <w:hyperlink r:id="rId42" w:history="1">
        <w:r>
          <w:rPr>
            <w:rFonts w:ascii="Times New Roman" w:eastAsia="Times New Roman" w:hAnsi="Times New Roman" w:cs="Times New Roman"/>
            <w:noProof/>
            <w:sz w:val="24"/>
            <w:szCs w:val="24"/>
            <w:u w:val="single"/>
            <w:lang w:eastAsia="de-DE"/>
          </w:rPr>
          <w:t>http://erc.europa.eu/future-erc</w:t>
        </w:r>
      </w:hyperlink>
      <w:r>
        <w:rPr>
          <w:rFonts w:ascii="Times New Roman" w:eastAsia="Times New Roman" w:hAnsi="Times New Roman" w:cs="Times New Roman"/>
          <w:noProof/>
          <w:sz w:val="24"/>
          <w:szCs w:val="24"/>
          <w:lang w:eastAsia="de-DE"/>
        </w:rPr>
        <w:t xml:space="preserve"> </w:t>
      </w:r>
    </w:p>
    <w:p w:rsidR="00E535A0" w:rsidRDefault="00C953F5">
      <w:pPr>
        <w:spacing w:after="0" w:line="240" w:lineRule="auto"/>
        <w:jc w:val="both"/>
        <w:rPr>
          <w:rFonts w:ascii="Times New Roman" w:eastAsia="Times New Roman" w:hAnsi="Times New Roman" w:cs="Times New Roman"/>
          <w:bCs/>
          <w:noProof/>
          <w:sz w:val="24"/>
          <w:szCs w:val="24"/>
          <w:lang w:eastAsia="de-DE"/>
        </w:rPr>
      </w:pPr>
      <w:r>
        <w:rPr>
          <w:rFonts w:ascii="Times New Roman" w:eastAsia="Times New Roman" w:hAnsi="Times New Roman" w:cs="Times New Roman"/>
          <w:bCs/>
          <w:noProof/>
          <w:sz w:val="24"/>
          <w:szCs w:val="24"/>
          <w:lang w:eastAsia="de-DE"/>
        </w:rPr>
        <w:t>Finally, under Horizon 2020 the review and evaluation of the implementation and management of the activities of the ERC will continue “</w:t>
      </w:r>
      <w:r>
        <w:rPr>
          <w:rFonts w:ascii="Times New Roman" w:eastAsia="Times New Roman" w:hAnsi="Times New Roman" w:cs="Times New Roman"/>
          <w:bCs/>
          <w:i/>
          <w:noProof/>
          <w:sz w:val="24"/>
          <w:szCs w:val="24"/>
          <w:lang w:eastAsia="de-DE"/>
        </w:rPr>
        <w:t xml:space="preserve">on an on-going basis with the full involvement </w:t>
      </w:r>
      <w:r>
        <w:rPr>
          <w:rFonts w:ascii="Times New Roman" w:eastAsia="Times New Roman" w:hAnsi="Times New Roman" w:cs="Times New Roman"/>
          <w:bCs/>
          <w:i/>
          <w:noProof/>
          <w:sz w:val="24"/>
          <w:szCs w:val="24"/>
          <w:lang w:eastAsia="de-DE"/>
        </w:rPr>
        <w:t>of the Scientific Council to assess the achievements and adjust and improve procedures and structures on the basis of experience</w:t>
      </w:r>
      <w:r>
        <w:rPr>
          <w:rFonts w:ascii="Times New Roman" w:eastAsia="Times New Roman" w:hAnsi="Times New Roman" w:cs="Times New Roman"/>
          <w:bCs/>
          <w:noProof/>
          <w:sz w:val="24"/>
          <w:szCs w:val="24"/>
          <w:lang w:eastAsia="de-DE"/>
        </w:rPr>
        <w:t xml:space="preserve">”. </w:t>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rsidR="00E535A0" w:rsidRDefault="00C953F5">
      <w:pPr>
        <w:pStyle w:val="berschrift1"/>
        <w:rPr>
          <w:noProof/>
        </w:rPr>
      </w:pPr>
      <w:bookmarkStart w:id="8" w:name="_Toc426640893"/>
      <w:bookmarkStart w:id="9" w:name="_Toc433998133"/>
      <w:bookmarkStart w:id="10" w:name="_Toc439752803"/>
      <w:r>
        <w:rPr>
          <w:noProof/>
        </w:rPr>
        <w:t>People Specific Programme</w:t>
      </w:r>
      <w:bookmarkEnd w:id="8"/>
      <w:bookmarkEnd w:id="9"/>
      <w:bookmarkEnd w:id="10"/>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Objectives</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Original objectives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prerequisite for increasing Europe's capacity and </w:t>
      </w:r>
      <w:r>
        <w:rPr>
          <w:rFonts w:ascii="Times New Roman" w:hAnsi="Times New Roman" w:cs="Times New Roman"/>
          <w:noProof/>
          <w:sz w:val="24"/>
          <w:szCs w:val="24"/>
        </w:rPr>
        <w:t>performance in research and technological development and for consolidating and further developing the European Research Area, the overall strategic aim of the People Specific Programme was to make Europe more attractive to researchers.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was implemente</w:t>
      </w:r>
      <w:r>
        <w:rPr>
          <w:rFonts w:ascii="Times New Roman" w:hAnsi="Times New Roman" w:cs="Times New Roman"/>
          <w:noProof/>
          <w:sz w:val="24"/>
          <w:szCs w:val="24"/>
        </w:rPr>
        <w:t>d by pursuing a considerable structuring effect throughout Europe on the organisation, performance and quality of research training, on the active career development of researchers, on knowledge-sharing through researchers between sectors and research orga</w:t>
      </w:r>
      <w:r>
        <w:rPr>
          <w:rFonts w:ascii="Times New Roman" w:hAnsi="Times New Roman" w:cs="Times New Roman"/>
          <w:noProof/>
          <w:sz w:val="24"/>
          <w:szCs w:val="24"/>
        </w:rPr>
        <w:t>nisations, on increasing partnership between industry and academia, and on strong participation by women and early-stage researchers in research and development.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goal of increasing the human R&amp;D potential in Europe in terms of both quality and quantity</w:t>
      </w:r>
      <w:r>
        <w:rPr>
          <w:rFonts w:ascii="Times New Roman" w:hAnsi="Times New Roman" w:cs="Times New Roman"/>
          <w:noProof/>
          <w:sz w:val="24"/>
          <w:szCs w:val="24"/>
        </w:rPr>
        <w:t xml:space="preserve"> included systematic investments in people in terms of their skills and competence development at all stages of their careers, from initial research training specifically intended for young people, to career development and life-long training in the public</w:t>
      </w:r>
      <w:r>
        <w:rPr>
          <w:rFonts w:ascii="Times New Roman" w:hAnsi="Times New Roman" w:cs="Times New Roman"/>
          <w:noProof/>
          <w:sz w:val="24"/>
          <w:szCs w:val="24"/>
        </w:rPr>
        <w:t xml:space="preserve"> and private sector. Mobility, both trans-national and intersectoral, was considered as fundamental to achieving these goals. Increasing the mobility of researchers and strengthening the resources of those institutions which attracted researchers internati</w:t>
      </w:r>
      <w:r>
        <w:rPr>
          <w:rFonts w:ascii="Times New Roman" w:hAnsi="Times New Roman" w:cs="Times New Roman"/>
          <w:noProof/>
          <w:sz w:val="24"/>
          <w:szCs w:val="24"/>
        </w:rPr>
        <w:t>onally aimed at encouraging establishment of centres of excellence across the European Union.</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Evolution of objectives to respond to the crisis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Measures to ensure competitiveness and to promote growth and jobs are part of the EU answer to the financial and </w:t>
      </w:r>
      <w:r>
        <w:rPr>
          <w:rFonts w:ascii="Times New Roman" w:eastAsia="Calibri" w:hAnsi="Times New Roman" w:cs="Times New Roman"/>
          <w:noProof/>
          <w:sz w:val="24"/>
          <w:szCs w:val="24"/>
        </w:rPr>
        <w:t xml:space="preserve">economic crisis. Investing in training and skills remains therefore particularly relevant, as it enhances the employability and productivity of the workforce.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People Programme invested in the knowledge and potential of researchers, especially at the b</w:t>
      </w:r>
      <w:r>
        <w:rPr>
          <w:rFonts w:ascii="Times New Roman" w:eastAsia="Calibri" w:hAnsi="Times New Roman" w:cs="Times New Roman"/>
          <w:noProof/>
          <w:sz w:val="24"/>
          <w:szCs w:val="24"/>
        </w:rPr>
        <w:t>eginning of their professional careers.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Thus, there was no need to alter the overall objectives of the programme, but rather to finetune the focus on the relevance of skills and competences for the next generation of researchers. </w:t>
      </w:r>
    </w:p>
    <w:p w:rsidR="00E535A0" w:rsidRDefault="00C953F5">
      <w:pPr>
        <w:spacing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In this respect, in 2011,</w:t>
      </w:r>
      <w:r>
        <w:rPr>
          <w:rFonts w:ascii="Times New Roman" w:eastAsia="Calibri" w:hAnsi="Times New Roman" w:cs="Times New Roman"/>
          <w:noProof/>
          <w:sz w:val="24"/>
          <w:szCs w:val="24"/>
        </w:rPr>
        <w:t xml:space="preserve"> the European Commission introduced the European Industrial Doctorates (EID) for PhD candidates to get a strong insight in the industrial world and contribute directly, with their doctorate research, to the innovation potential of the European economy. The</w:t>
      </w:r>
      <w:r>
        <w:rPr>
          <w:rFonts w:ascii="Times New Roman" w:eastAsia="Calibri" w:hAnsi="Times New Roman" w:cs="Times New Roman"/>
          <w:noProof/>
          <w:sz w:val="24"/>
          <w:szCs w:val="24"/>
        </w:rPr>
        <w:t xml:space="preserve"> EID aimed at tackling the skills mismatch between academically trained researchers and the skills and competences needs of industry and at making researchers not only aware of the requirements and expectations of the non-academic world, but also better pr</w:t>
      </w:r>
      <w:r>
        <w:rPr>
          <w:rFonts w:ascii="Times New Roman" w:eastAsia="Calibri" w:hAnsi="Times New Roman" w:cs="Times New Roman"/>
          <w:noProof/>
          <w:sz w:val="24"/>
          <w:szCs w:val="24"/>
        </w:rPr>
        <w:t>epared for successful transitions from the academic world  to a business environment. It also allowed European companies to take full advantage of the creativity and innovation potential of young researcher to increase their own competitiveness.</w:t>
      </w:r>
    </w:p>
    <w:p w:rsidR="00E535A0" w:rsidRDefault="00C953F5">
      <w:pPr>
        <w:spacing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Implementa</w:t>
      </w:r>
      <w:r>
        <w:rPr>
          <w:rFonts w:ascii="Times New Roman" w:hAnsi="Times New Roman" w:cs="Times New Roman"/>
          <w:b/>
          <w:i/>
          <w:noProof/>
          <w:sz w:val="24"/>
          <w:szCs w:val="24"/>
        </w:rPr>
        <w:t>tion</w:t>
      </w:r>
    </w:p>
    <w:p w:rsidR="00E535A0" w:rsidRDefault="00C953F5">
      <w:pPr>
        <w:spacing w:line="240" w:lineRule="auto"/>
        <w:jc w:val="both"/>
        <w:rPr>
          <w:rFonts w:ascii="Times New Roman" w:hAnsi="Times New Roman" w:cs="Times New Roman"/>
          <w:b/>
          <w:i/>
          <w:noProof/>
          <w:sz w:val="24"/>
          <w:szCs w:val="24"/>
        </w:rPr>
      </w:pPr>
      <w:r>
        <w:rPr>
          <w:rFonts w:ascii="Times New Roman" w:hAnsi="Times New Roman" w:cs="Times New Roman"/>
          <w:noProof/>
          <w:sz w:val="24"/>
          <w:szCs w:val="24"/>
        </w:rPr>
        <w:t>The People Programme was implemented through the Marie Curie Actions (MCAs) and the specific policy actions with a view to support the creation of a genuine European labour market for researchers by removing obstacles to mobility and enhancing the car</w:t>
      </w:r>
      <w:r>
        <w:rPr>
          <w:rFonts w:ascii="Times New Roman" w:hAnsi="Times New Roman" w:cs="Times New Roman"/>
          <w:noProof/>
          <w:sz w:val="24"/>
          <w:szCs w:val="24"/>
        </w:rPr>
        <w:t xml:space="preserve">eer perspectives of researchers in Europe.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People Programme was implemented under five main activity lines: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initial training of researchers;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life-long training and career development;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industry-academia partnerships and pathways;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international</w:t>
      </w:r>
      <w:r>
        <w:rPr>
          <w:rFonts w:ascii="Times New Roman" w:hAnsi="Times New Roman" w:cs="Times New Roman"/>
          <w:noProof/>
          <w:sz w:val="24"/>
          <w:szCs w:val="24"/>
        </w:rPr>
        <w:t xml:space="preserve"> dimension – world fellowships; and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specific policy actions (Researchers’ Night and policy activities to foster the mobility of researchers, promote their career, modernise their skills and prepare future initiatives, in particular through: the EURAXESS </w:t>
      </w:r>
      <w:r>
        <w:rPr>
          <w:rFonts w:ascii="Times New Roman" w:hAnsi="Times New Roman" w:cs="Times New Roman"/>
          <w:noProof/>
          <w:sz w:val="24"/>
          <w:szCs w:val="24"/>
        </w:rPr>
        <w:t>Researchers in Motion initiative; the Retirement Savings Vehicle for European Research Institutions (RESAVER); the Human Resources Strategy for Researchers (HRS4R); the support to the implementation of the Innovative Doctoral Training Principles (IDTPs) an</w:t>
      </w:r>
      <w:r>
        <w:rPr>
          <w:rFonts w:ascii="Times New Roman" w:hAnsi="Times New Roman" w:cs="Times New Roman"/>
          <w:noProof/>
          <w:sz w:val="24"/>
          <w:szCs w:val="24"/>
        </w:rPr>
        <w:t>d data collection activities).</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FP7 contribute to the competitiveness of European industry?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Enhancing cooperation between universities and industry in terms of knowledge sharing, training and broad skills development was a key element of MCA. 6.3% of the overall FP7 MCA budget was dedicated to SMEs. 9.6% of all FP7 MCA participants were from the </w:t>
      </w:r>
      <w:r>
        <w:rPr>
          <w:rFonts w:ascii="Times New Roman" w:hAnsi="Times New Roman" w:cs="Times New Roman"/>
          <w:noProof/>
          <w:sz w:val="24"/>
          <w:szCs w:val="24"/>
        </w:rPr>
        <w:t xml:space="preserve">private sector (out of over 22 000 participations).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involvement of the private sector was much more significant in the two main activities dedicated to academia-industry interactions (Initial Training Networks (ITN): 20.8% of participants were from t</w:t>
      </w:r>
      <w:r>
        <w:rPr>
          <w:rFonts w:ascii="Times New Roman" w:hAnsi="Times New Roman" w:cs="Times New Roman"/>
          <w:noProof/>
          <w:sz w:val="24"/>
          <w:szCs w:val="24"/>
        </w:rPr>
        <w:t>he private sector; Industry-Academia Partnerships and Pathways (IAPP): 44.6% of participants were from the private sector). Together ITN and IAPP schemes constituted 50% of the People Programme's budget. Among all businesses participating in ITN and IAPP a</w:t>
      </w:r>
      <w:r>
        <w:rPr>
          <w:rFonts w:ascii="Times New Roman" w:hAnsi="Times New Roman" w:cs="Times New Roman"/>
          <w:noProof/>
          <w:sz w:val="24"/>
          <w:szCs w:val="24"/>
        </w:rPr>
        <w:t xml:space="preserve">ctions, more than 50% were SMEs.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Nine out of the 10 European companies investing the largest sums in R&amp;D participated in host-driven MCA: Volkswagen, Daimler, Sanofi-Aventis, GlaxoSmithKline, Siemens, Robert Bosch, Bayer, AstraZeneca, Eads.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MCA has c</w:t>
      </w:r>
      <w:r>
        <w:rPr>
          <w:rFonts w:ascii="Times New Roman" w:hAnsi="Times New Roman" w:cs="Times New Roman"/>
          <w:noProof/>
          <w:sz w:val="24"/>
          <w:szCs w:val="24"/>
        </w:rPr>
        <w:t>ontributed to research that could lead to improved products or processes in the future (acknowledged by 61% of IAPP beneficiaries), helped to become more aware/confident of the commercial potential of their research (45%), as well as helped to gain new com</w:t>
      </w:r>
      <w:r>
        <w:rPr>
          <w:rFonts w:ascii="Times New Roman" w:hAnsi="Times New Roman" w:cs="Times New Roman"/>
          <w:noProof/>
          <w:sz w:val="24"/>
          <w:szCs w:val="24"/>
        </w:rPr>
        <w:t>mercial contacts in the project network/partnership (including industry) (41%).</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Nearly 17% of all Intellectual Property Rights reported in FP7 are from the projects funded by the MCA.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Abundant and highly trained researchers are a necessary condition to </w:t>
      </w:r>
      <w:r>
        <w:rPr>
          <w:rFonts w:ascii="Times New Roman" w:hAnsi="Times New Roman" w:cs="Times New Roman"/>
          <w:noProof/>
          <w:sz w:val="24"/>
          <w:szCs w:val="24"/>
        </w:rPr>
        <w:t>advance science and to underpin innovation, as well as an important factor to attract and sustain investments. In order to make Europe more attractive to the best researchers the People programme maximised, quantitatively and qualitatively, the human poten</w:t>
      </w:r>
      <w:r>
        <w:rPr>
          <w:rFonts w:ascii="Times New Roman" w:hAnsi="Times New Roman" w:cs="Times New Roman"/>
          <w:noProof/>
          <w:sz w:val="24"/>
          <w:szCs w:val="24"/>
        </w:rPr>
        <w:t>tial in research and development in Europe.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Mobility of researchers was an essential element in achieving these objectives and structured training of researchers was a significant element of the action. The programme emphasised and committed participating </w:t>
      </w:r>
      <w:r>
        <w:rPr>
          <w:rFonts w:ascii="Times New Roman" w:hAnsi="Times New Roman" w:cs="Times New Roman"/>
          <w:noProof/>
          <w:sz w:val="24"/>
          <w:szCs w:val="24"/>
        </w:rPr>
        <w:t>organisations to train researchers and exposed them to industry. Such exposure was essential for fostering innovation, for making research productive and for turning research into marketable outputs. It facilitated a two-way exchange of effects in the sens</w:t>
      </w:r>
      <w:r>
        <w:rPr>
          <w:rFonts w:ascii="Times New Roman" w:hAnsi="Times New Roman" w:cs="Times New Roman"/>
          <w:noProof/>
          <w:sz w:val="24"/>
          <w:szCs w:val="24"/>
        </w:rPr>
        <w:t>e that the transfer of knowledge and exchange of staff worked in both directions. As a result of such interactions, the participating researchers obtained a valuable mix of soft, transferable and specialised capabilities and skills.</w:t>
      </w:r>
    </w:p>
    <w:p w:rsidR="00E535A0" w:rsidRDefault="00E535A0">
      <w:pPr>
        <w:autoSpaceDE w:val="0"/>
        <w:autoSpaceDN w:val="0"/>
        <w:adjustRightInd w:val="0"/>
        <w:spacing w:after="0" w:line="240" w:lineRule="auto"/>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Opportunities provided</w:t>
      </w:r>
      <w:r>
        <w:rPr>
          <w:rFonts w:ascii="Times New Roman" w:hAnsi="Times New Roman" w:cs="Times New Roman"/>
          <w:b/>
          <w:noProof/>
          <w:sz w:val="24"/>
          <w:szCs w:val="24"/>
        </w:rPr>
        <w:t xml:space="preserve"> by the MCA to individual fellows (IAPP and IRSES)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de-DE" w:eastAsia="de-DE"/>
        </w:rPr>
        <w:drawing>
          <wp:inline distT="0" distB="0" distL="0" distR="0">
            <wp:extent cx="5760720" cy="2828290"/>
            <wp:effectExtent l="0" t="0" r="1143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Source: Survey of MC fellows, PPMI 2013.</w:t>
      </w:r>
    </w:p>
    <w:p w:rsidR="00E535A0" w:rsidRDefault="00E535A0">
      <w:pPr>
        <w:spacing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FP7 People SP contribute to increase European and international wide S&amp;T collaboration and networking for sharing R&amp;D risks and costs?</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FP7, MCAs have </w:t>
      </w:r>
      <w:r>
        <w:rPr>
          <w:rFonts w:ascii="Times New Roman" w:eastAsia="Times New Roman" w:hAnsi="Times New Roman" w:cs="Times New Roman"/>
          <w:noProof/>
          <w:sz w:val="24"/>
          <w:szCs w:val="24"/>
          <w:lang w:eastAsia="en-GB"/>
        </w:rPr>
        <w:t xml:space="preserve">supported some </w:t>
      </w:r>
      <w:r>
        <w:rPr>
          <w:rFonts w:ascii="Times New Roman" w:eastAsia="Times New Roman" w:hAnsi="Times New Roman" w:cs="Times New Roman"/>
          <w:b/>
          <w:noProof/>
          <w:sz w:val="24"/>
          <w:szCs w:val="24"/>
          <w:lang w:eastAsia="en-GB"/>
        </w:rPr>
        <w:t>50.000 mobile researchers</w:t>
      </w:r>
      <w:r>
        <w:rPr>
          <w:rFonts w:ascii="Times New Roman" w:eastAsia="Times New Roman" w:hAnsi="Times New Roman" w:cs="Times New Roman"/>
          <w:noProof/>
          <w:sz w:val="24"/>
          <w:szCs w:val="24"/>
          <w:lang w:eastAsia="en-GB"/>
        </w:rPr>
        <w:t>.</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Promoting international research careers, networking and staff mobility is crucial to enhance global cooperation. MCA fellows represented over 140 different nationalities and their research projects were undertaken</w:t>
      </w:r>
      <w:r>
        <w:rPr>
          <w:rFonts w:ascii="Times New Roman" w:eastAsia="Times New Roman" w:hAnsi="Times New Roman" w:cs="Times New Roman"/>
          <w:noProof/>
          <w:sz w:val="24"/>
          <w:szCs w:val="24"/>
          <w:lang w:eastAsia="en-GB"/>
        </w:rPr>
        <w:t xml:space="preserve"> in more than 80 countries. This testifies the world-wide openness of the programme and its important contribution towards enhancing the knowledge transfer and the quality of research undertaken. Nearly 24% of MCA fellows were researchers from countries ou</w:t>
      </w:r>
      <w:r>
        <w:rPr>
          <w:rFonts w:ascii="Times New Roman" w:eastAsia="Times New Roman" w:hAnsi="Times New Roman" w:cs="Times New Roman"/>
          <w:noProof/>
          <w:sz w:val="24"/>
          <w:szCs w:val="24"/>
          <w:lang w:eastAsia="en-GB"/>
        </w:rPr>
        <w:t>tside the EU Member States or Associated Countries. In addition, the International Research Staff Exchange (IRSES) has promoted reciprocal exchange of research staff from Europe to third countries, increasing the share of 3rd country nationals supported by</w:t>
      </w:r>
      <w:r>
        <w:rPr>
          <w:rFonts w:ascii="Times New Roman" w:eastAsia="Times New Roman" w:hAnsi="Times New Roman" w:cs="Times New Roman"/>
          <w:noProof/>
          <w:sz w:val="24"/>
          <w:szCs w:val="24"/>
          <w:lang w:eastAsia="en-GB"/>
        </w:rPr>
        <w:t xml:space="preserve"> MCA to 34%. In terms of host organisations, about 12.5% of funded Marie Curie beneficiaries are localised in third countries. About a quarter of the total number of projects funded under the Marie Curie Actions has a non-European organisation involved.</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81</w:t>
      </w:r>
      <w:r>
        <w:rPr>
          <w:rFonts w:ascii="Times New Roman" w:eastAsia="Times New Roman" w:hAnsi="Times New Roman" w:cs="Times New Roman"/>
          <w:noProof/>
          <w:sz w:val="24"/>
          <w:szCs w:val="24"/>
          <w:lang w:eastAsia="en-GB"/>
        </w:rPr>
        <w:t>% of the MCA beneficiaries stated that the programme provided attractive international mobility opportunities for researchers in their organisation. 76% indicated that it provided more opportunities to attract researchers to their organisation from abroad.</w:t>
      </w:r>
      <w:r>
        <w:rPr>
          <w:rFonts w:ascii="Times New Roman" w:eastAsia="Times New Roman" w:hAnsi="Times New Roman" w:cs="Times New Roman"/>
          <w:noProof/>
          <w:sz w:val="24"/>
          <w:szCs w:val="24"/>
          <w:lang w:eastAsia="en-GB"/>
        </w:rPr>
        <w:t xml:space="preserve"> 91% of all organisation beneficiaries considered that the MCA provided attractive opportunities to create new, or join existing international research networks. </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FP7 Marie Curie funding has supported 18 000 participations of both academic and non-acad</w:t>
      </w:r>
      <w:r>
        <w:rPr>
          <w:rFonts w:ascii="Times New Roman" w:eastAsia="Times New Roman" w:hAnsi="Times New Roman" w:cs="Times New Roman"/>
          <w:noProof/>
          <w:sz w:val="24"/>
          <w:szCs w:val="24"/>
          <w:lang w:eastAsia="en-GB"/>
        </w:rPr>
        <w:t xml:space="preserve">emic organisations in EU MS, Associated Countries and beyond, creating opportunities for intellectually stimulating exchanges and multiplying international contacts among universities, research institutions and businesses. </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Social network analysis revealed</w:t>
      </w:r>
      <w:r>
        <w:rPr>
          <w:rFonts w:ascii="Times New Roman" w:eastAsia="Times New Roman" w:hAnsi="Times New Roman" w:cs="Times New Roman"/>
          <w:noProof/>
          <w:sz w:val="24"/>
          <w:szCs w:val="24"/>
          <w:lang w:eastAsia="en-GB"/>
        </w:rPr>
        <w:t xml:space="preserve"> the dense nature of the MCA network: the majority of organisations participating in the host-driven MCA (ITN, IAPP and IRSES) were directly or indirectly interconnected. These connections facilitated networking and knowledge transfer inside the networks. </w:t>
      </w:r>
      <w:r>
        <w:rPr>
          <w:rFonts w:ascii="Times New Roman" w:eastAsia="Times New Roman" w:hAnsi="Times New Roman" w:cs="Times New Roman"/>
          <w:noProof/>
          <w:sz w:val="24"/>
          <w:szCs w:val="24"/>
          <w:lang w:eastAsia="en-GB"/>
        </w:rPr>
        <w:t>The social network analysis also revealed that research organisations from the EU-15 (e.g. Italy, Spain, Germany and the UK), as well as large third countries, such as the United States, Japan or Turkey, acted as central “gateways” for the weakest particip</w:t>
      </w:r>
      <w:r>
        <w:rPr>
          <w:rFonts w:ascii="Times New Roman" w:eastAsia="Times New Roman" w:hAnsi="Times New Roman" w:cs="Times New Roman"/>
          <w:noProof/>
          <w:sz w:val="24"/>
          <w:szCs w:val="24"/>
          <w:lang w:eastAsia="en-GB"/>
        </w:rPr>
        <w:t>ants (those with the lowest number of connections).</w:t>
      </w:r>
    </w:p>
    <w:p w:rsidR="00E535A0" w:rsidRDefault="00C953F5">
      <w:pPr>
        <w:spacing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Yet, despite the solid evidence of an undisputed centrality of certain research organisations representing the EU-15 countries, it was also found that the programme did not develop a closed circle of “eli</w:t>
      </w:r>
      <w:r>
        <w:rPr>
          <w:rFonts w:ascii="Times New Roman" w:eastAsia="Times New Roman" w:hAnsi="Times New Roman" w:cs="Times New Roman"/>
          <w:noProof/>
          <w:sz w:val="24"/>
          <w:szCs w:val="24"/>
          <w:lang w:eastAsia="en-GB"/>
        </w:rPr>
        <w:t>te” organisations, occupying the top positions in the host-driven MCA each year. On the contrary, different organisations acted as the most important intermediaries of the MCA network in different points in time, thus proving the openness of this network t</w:t>
      </w:r>
      <w:r>
        <w:rPr>
          <w:rFonts w:ascii="Times New Roman" w:eastAsia="Times New Roman" w:hAnsi="Times New Roman" w:cs="Times New Roman"/>
          <w:noProof/>
          <w:sz w:val="24"/>
          <w:szCs w:val="24"/>
          <w:lang w:eastAsia="en-GB"/>
        </w:rPr>
        <w:t>o new organisations willing to undertake more responsibility.</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FP7 People SP contribute to improve the coordination of European, national and regional research policies?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MCAs had an evident structuring effect on the European Research Area by setting</w:t>
      </w:r>
      <w:r>
        <w:rPr>
          <w:rFonts w:ascii="Times New Roman" w:hAnsi="Times New Roman" w:cs="Times New Roman"/>
          <w:noProof/>
          <w:sz w:val="24"/>
          <w:szCs w:val="24"/>
        </w:rPr>
        <w:t xml:space="preserve"> standards for research training, attractive employment conditions and open recruitment for all EU researchers. Through the co-fund mechanism, they have been effective in aligning national resources and influencing programmes at regional, national and inte</w:t>
      </w:r>
      <w:r>
        <w:rPr>
          <w:rFonts w:ascii="Times New Roman" w:hAnsi="Times New Roman" w:cs="Times New Roman"/>
          <w:noProof/>
          <w:sz w:val="24"/>
          <w:szCs w:val="24"/>
        </w:rPr>
        <w:t>rnational level.</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principles guiding the doctoral training offered under MCA ITN have been recognised as best practice in Europe: international, intersectoral and interdisciplinary environment created by consortia from different countries and offering t</w:t>
      </w:r>
      <w:r>
        <w:rPr>
          <w:rFonts w:ascii="Times New Roman" w:hAnsi="Times New Roman" w:cs="Times New Roman"/>
          <w:noProof/>
          <w:sz w:val="24"/>
          <w:szCs w:val="24"/>
        </w:rPr>
        <w:t xml:space="preserve">o supported researchers a significant exposure to industry, the development of transferable skills, including on entrepreneurship, business skills and Intellectual Property Rights, as well as attractive working and employment conditions.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consequence, the MCA experiences and guidelines were translated into the EU Principles for Innovative Doctoral Training, adopted by the ERA Steering Group on Human Resources and Mobility.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Evidence shows that in some countries there was a structuring</w:t>
      </w:r>
      <w:r>
        <w:rPr>
          <w:rFonts w:ascii="Times New Roman" w:hAnsi="Times New Roman" w:cs="Times New Roman"/>
          <w:noProof/>
          <w:sz w:val="24"/>
          <w:szCs w:val="24"/>
        </w:rPr>
        <w:t xml:space="preserve"> effect of ITN at the national level. It occurs in terms of expansion of doctorate curricula, by including transferrable skills, more exchanges with industry, or more focus on employability. Additionally, by implementing the ITN projects participating orga</w:t>
      </w:r>
      <w:r>
        <w:rPr>
          <w:rFonts w:ascii="Times New Roman" w:hAnsi="Times New Roman" w:cs="Times New Roman"/>
          <w:noProof/>
          <w:sz w:val="24"/>
          <w:szCs w:val="24"/>
        </w:rPr>
        <w:t>nisations could test new ways of managing research careers and support policy initiatives aimed at introducing new types of employment contracts or increasing transparency in the recruitment processes.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example, in Germany the broad focus on employabil</w:t>
      </w:r>
      <w:r>
        <w:rPr>
          <w:rFonts w:ascii="Times New Roman" w:hAnsi="Times New Roman" w:cs="Times New Roman"/>
          <w:noProof/>
          <w:sz w:val="24"/>
          <w:szCs w:val="24"/>
        </w:rPr>
        <w:t xml:space="preserve">ity enhancement of the research fellows was assessed very positively. It was acknowledged that ITN was a good example of the efforts to increase employability and collaborate with industry.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UK, the ITN action was seen </w:t>
      </w:r>
      <w:r>
        <w:rPr>
          <w:rFonts w:ascii="Times New Roman" w:hAnsi="Times New Roman" w:cs="Times New Roman"/>
          <w:noProof/>
          <w:sz w:val="24"/>
          <w:szCs w:val="24"/>
        </w:rPr>
        <w:tab/>
        <w:t xml:space="preserve">as an innovative example of </w:t>
      </w:r>
      <w:r>
        <w:rPr>
          <w:rFonts w:ascii="Times New Roman" w:hAnsi="Times New Roman" w:cs="Times New Roman"/>
          <w:noProof/>
          <w:sz w:val="24"/>
          <w:szCs w:val="24"/>
        </w:rPr>
        <w:t>international collaboration between academia and industry. The unique added value and impact of MCA lied in its potential to attract researchers to the country and increase overall research excellence in the UK. ITN opened new avenues to exploit the potent</w:t>
      </w:r>
      <w:r>
        <w:rPr>
          <w:rFonts w:ascii="Times New Roman" w:hAnsi="Times New Roman" w:cs="Times New Roman"/>
          <w:noProof/>
          <w:sz w:val="24"/>
          <w:szCs w:val="24"/>
        </w:rPr>
        <w:t xml:space="preserve">ial of academia-industry interaction.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in Slovenia, the MCA and especially ITN were taken into account when preparing a national joint strategy for research and innovation. The aspects of human resources management were integrated in this strategy and the Slovene participation in I</w:t>
      </w:r>
      <w:r>
        <w:rPr>
          <w:rFonts w:ascii="Times New Roman" w:hAnsi="Times New Roman" w:cs="Times New Roman"/>
          <w:noProof/>
          <w:sz w:val="24"/>
          <w:szCs w:val="24"/>
        </w:rPr>
        <w:t xml:space="preserve">TN was a particularly good learning experience.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Romania, the People Programme was an inspiration for national programmes promoting the mobility of PhD researchers within the country.</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And finally, training in industry was introduced in certain nationa</w:t>
      </w:r>
      <w:r>
        <w:rPr>
          <w:rFonts w:ascii="Times New Roman" w:hAnsi="Times New Roman" w:cs="Times New Roman"/>
          <w:noProof/>
          <w:sz w:val="24"/>
          <w:szCs w:val="24"/>
        </w:rPr>
        <w:t>l PhD programmes..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of the novel measures under the MCA was the introduction of the co-funding mechanism for regional, national and international programmes (COFUND). COFUND objectives concerning the mobilisation and leveraging of national, regional an</w:t>
      </w:r>
      <w:r>
        <w:rPr>
          <w:rFonts w:ascii="Times New Roman" w:hAnsi="Times New Roman" w:cs="Times New Roman"/>
          <w:noProof/>
          <w:sz w:val="24"/>
          <w:szCs w:val="24"/>
        </w:rPr>
        <w:t>d international resources and widening opportunities for individuals and research organisations related strongly to the European Research Area priorities on overcoming mobility barriers and addressing fragmentation in the European research landscape.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COFUND budget during FP7 was about €530 million. With the beneficiary funding added (based on an EU contribution of 40%), the total budget of co-funded programmes eventually raised to €1.3 billion. This allowed co-financing 167 programmes and supporting ov</w:t>
      </w:r>
      <w:r>
        <w:rPr>
          <w:rFonts w:ascii="Times New Roman" w:hAnsi="Times New Roman" w:cs="Times New Roman"/>
          <w:noProof/>
          <w:sz w:val="24"/>
          <w:szCs w:val="24"/>
        </w:rPr>
        <w:t xml:space="preserve">er 9 700 post-doctoral researchers.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COFUND, national, regional and international fellowship programmes were highly encouraged to apply the Charter and Code principles, in particular concerning the quality and the transparency of the recruitment proces</w:t>
      </w:r>
      <w:r>
        <w:rPr>
          <w:rFonts w:ascii="Times New Roman" w:hAnsi="Times New Roman" w:cs="Times New Roman"/>
          <w:noProof/>
          <w:sz w:val="24"/>
          <w:szCs w:val="24"/>
        </w:rPr>
        <w:t xml:space="preserve">s for researchers. MCA had thus a pronounced structuring impact by aligning national resources, influencing national fellowship programme design, and by setting standards of attractive employment conditions and open recruitments for all EU-researchers.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w:t>
      </w:r>
      <w:r>
        <w:rPr>
          <w:rFonts w:ascii="Times New Roman" w:hAnsi="Times New Roman" w:cs="Times New Roman"/>
          <w:noProof/>
          <w:sz w:val="24"/>
          <w:szCs w:val="24"/>
        </w:rPr>
        <w:t>or instance, some organisations such as the Swedish Forskingsrådet För Arbetsliv Och Socialvetenskap (COFAS programme) and the Italian Provincia Autonoma di Trento (TRENTINO programme) have transformed stipends into employment contracts due to their partic</w:t>
      </w:r>
      <w:r>
        <w:rPr>
          <w:rFonts w:ascii="Times New Roman" w:hAnsi="Times New Roman" w:cs="Times New Roman"/>
          <w:noProof/>
          <w:sz w:val="24"/>
          <w:szCs w:val="24"/>
        </w:rPr>
        <w:t>ipation in COFUND.</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FP7 People SP strengthen the scientific excellence of basic research in Europe?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 foster the culture of excellence in Europe. In 2014 only, 3 Nobel Prize winners were involved in MCA projects. 30 young scientists supported by</w:t>
      </w:r>
      <w:r>
        <w:rPr>
          <w:rFonts w:ascii="Times New Roman" w:hAnsi="Times New Roman" w:cs="Times New Roman"/>
          <w:noProof/>
          <w:sz w:val="24"/>
          <w:szCs w:val="24"/>
        </w:rPr>
        <w:t xml:space="preserve"> the FP7 MCA contributed to the discovery of the Higgs Boson at CERN.</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MCA contribute actively to a knowledge-based economy through a coherent framework addressing European needs for more researchers, better career opportunities in all research sectors and </w:t>
      </w:r>
      <w:r>
        <w:rPr>
          <w:rFonts w:ascii="Times New Roman" w:hAnsi="Times New Roman" w:cs="Times New Roman"/>
          <w:noProof/>
          <w:sz w:val="24"/>
          <w:szCs w:val="24"/>
        </w:rPr>
        <w:t>development of key skills to meet future challenges.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50 000 mobile researchers (included 10 000 PhD candidates) have been supported under FP7 MCA, all of them receiving high-quality research training and excellent career opportunities in both the public a</w:t>
      </w:r>
      <w:r>
        <w:rPr>
          <w:rFonts w:ascii="Times New Roman" w:hAnsi="Times New Roman" w:cs="Times New Roman"/>
          <w:noProof/>
          <w:sz w:val="24"/>
          <w:szCs w:val="24"/>
        </w:rPr>
        <w:t>nd private sector.</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high quality of training and supervision under the MCA was highly rated by 78% of the MC fellows in terms of the amount of supervision and by 82% of the fellows in terms of the quality of supervision. 95% of the MC fellows were </w:t>
      </w:r>
      <w:r>
        <w:rPr>
          <w:rFonts w:ascii="Times New Roman" w:hAnsi="Times New Roman" w:cs="Times New Roman"/>
          <w:noProof/>
          <w:sz w:val="24"/>
          <w:szCs w:val="24"/>
        </w:rPr>
        <w:t>satisfied by the training opportunities offered during the fellowship.</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level of skills of MCA researchers improved, mostly in the following areas: new and/or advanced scientific methods in their respective research field (63%), interdisciplinary techn</w:t>
      </w:r>
      <w:r>
        <w:rPr>
          <w:rFonts w:ascii="Times New Roman" w:hAnsi="Times New Roman" w:cs="Times New Roman"/>
          <w:noProof/>
          <w:sz w:val="24"/>
          <w:szCs w:val="24"/>
        </w:rPr>
        <w:t>iques (50%), public speaking and communication (49%), languages (46%) and use of specialised equipment (41%).</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Interdisciplinary approach is a key to unlock knowledge and innovation potential in many scientific disciplines. The critical mass of knowledge i</w:t>
      </w:r>
      <w:r>
        <w:rPr>
          <w:rFonts w:ascii="Times New Roman" w:hAnsi="Times New Roman" w:cs="Times New Roman"/>
          <w:noProof/>
          <w:sz w:val="24"/>
          <w:szCs w:val="24"/>
        </w:rPr>
        <w:t xml:space="preserve">n different scientific fields is often concentrated in different countries.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 developed research collaboration across disciplines and promoted interdisciplinarity in all projects – this was a key aspect of the most important criterion (S&amp;T quality) for</w:t>
      </w:r>
      <w:r>
        <w:rPr>
          <w:rFonts w:ascii="Times New Roman" w:hAnsi="Times New Roman" w:cs="Times New Roman"/>
          <w:noProof/>
          <w:sz w:val="24"/>
          <w:szCs w:val="24"/>
        </w:rPr>
        <w:t xml:space="preserve"> the majority of calls for proposals. According to the FP6 Marie Curie Ex-post evaluation, 77% of fellows reported “very high engagement” plus “high engagement” in inter-disciplinary or multi-disciplinary research.</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 fostered long-lasting collaborations</w:t>
      </w:r>
      <w:r>
        <w:rPr>
          <w:rFonts w:ascii="Times New Roman" w:hAnsi="Times New Roman" w:cs="Times New Roman"/>
          <w:noProof/>
          <w:sz w:val="24"/>
          <w:szCs w:val="24"/>
        </w:rPr>
        <w:t xml:space="preserve"> for the advancement of research. Bringing together top researchers form different background and cultures helped to create powerful synergies, boost creativity and often resulted in new perspectives and insights. MCA gave researchers opportunities to buil</w:t>
      </w:r>
      <w:r>
        <w:rPr>
          <w:rFonts w:ascii="Times New Roman" w:hAnsi="Times New Roman" w:cs="Times New Roman"/>
          <w:noProof/>
          <w:sz w:val="24"/>
          <w:szCs w:val="24"/>
        </w:rPr>
        <w:t>d new professional contacts and develop sustainable research collaborations. Under FP7, MCAs have strengthened research collaborations (90% of beneficiaries), allowed the development of new project applications and/or projects among MC partners (87%), crea</w:t>
      </w:r>
      <w:r>
        <w:rPr>
          <w:rFonts w:ascii="Times New Roman" w:hAnsi="Times New Roman" w:cs="Times New Roman"/>
          <w:noProof/>
          <w:sz w:val="24"/>
          <w:szCs w:val="24"/>
        </w:rPr>
        <w:t>ted new collaborations with academic organisations or businesses and enterprises (86%), increased the exchange of knowledge in the organisations or benefitted research and technical staff through the exchange of knowledge (84%).</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asked about their Mar</w:t>
      </w:r>
      <w:r>
        <w:rPr>
          <w:rFonts w:ascii="Times New Roman" w:hAnsi="Times New Roman" w:cs="Times New Roman"/>
          <w:noProof/>
          <w:sz w:val="24"/>
          <w:szCs w:val="24"/>
        </w:rPr>
        <w:t>ie Curie project's contribution to developments in their respective organisation, beneficiaries replied as follows: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861"/>
        <w:gridCol w:w="915"/>
        <w:gridCol w:w="936"/>
        <w:gridCol w:w="1006"/>
      </w:tblGrid>
      <w:tr w:rsidR="00E535A0">
        <w:trPr>
          <w:trHeight w:val="400"/>
        </w:trPr>
        <w:tc>
          <w:tcPr>
            <w:tcW w:w="3335" w:type="dxa"/>
            <w:shd w:val="clear" w:color="auto" w:fill="FFC000"/>
          </w:tcPr>
          <w:p w:rsidR="00E535A0" w:rsidRDefault="00E535A0">
            <w:pPr>
              <w:autoSpaceDE w:val="0"/>
              <w:autoSpaceDN w:val="0"/>
              <w:adjustRightInd w:val="0"/>
              <w:spacing w:after="0" w:line="240" w:lineRule="auto"/>
              <w:jc w:val="both"/>
              <w:rPr>
                <w:rFonts w:ascii="Times New Roman" w:hAnsi="Times New Roman" w:cs="Times New Roman"/>
                <w:b/>
                <w:noProof/>
                <w:sz w:val="24"/>
                <w:szCs w:val="24"/>
              </w:rPr>
            </w:pPr>
          </w:p>
        </w:tc>
        <w:tc>
          <w:tcPr>
            <w:tcW w:w="861" w:type="dxa"/>
            <w:shd w:val="clear" w:color="auto" w:fill="FFC000"/>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IAPP</w:t>
            </w:r>
          </w:p>
        </w:tc>
        <w:tc>
          <w:tcPr>
            <w:tcW w:w="915" w:type="dxa"/>
            <w:shd w:val="clear" w:color="auto" w:fill="FFC000"/>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IRSES</w:t>
            </w:r>
          </w:p>
        </w:tc>
        <w:tc>
          <w:tcPr>
            <w:tcW w:w="936" w:type="dxa"/>
            <w:shd w:val="clear" w:color="auto" w:fill="FFC000"/>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ITN</w:t>
            </w:r>
          </w:p>
        </w:tc>
        <w:tc>
          <w:tcPr>
            <w:tcW w:w="1006" w:type="dxa"/>
            <w:shd w:val="clear" w:color="auto" w:fill="FFC000"/>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Total </w:t>
            </w:r>
          </w:p>
        </w:tc>
      </w:tr>
      <w:tr w:rsidR="00E535A0">
        <w:tc>
          <w:tcPr>
            <w:tcW w:w="3335"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Has enhanced/will enhance research excellence</w:t>
            </w:r>
          </w:p>
        </w:tc>
        <w:tc>
          <w:tcPr>
            <w:tcW w:w="861"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87.5</w:t>
            </w:r>
          </w:p>
        </w:tc>
        <w:tc>
          <w:tcPr>
            <w:tcW w:w="915"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93.1</w:t>
            </w:r>
          </w:p>
        </w:tc>
        <w:tc>
          <w:tcPr>
            <w:tcW w:w="936"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92.9</w:t>
            </w:r>
          </w:p>
        </w:tc>
        <w:tc>
          <w:tcPr>
            <w:tcW w:w="1006"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92.2</w:t>
            </w:r>
          </w:p>
        </w:tc>
      </w:tr>
      <w:tr w:rsidR="00E535A0">
        <w:tc>
          <w:tcPr>
            <w:tcW w:w="3335"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Has increased/will increase the number of </w:t>
            </w:r>
            <w:r>
              <w:rPr>
                <w:rFonts w:ascii="Times New Roman" w:hAnsi="Times New Roman" w:cs="Times New Roman"/>
                <w:noProof/>
                <w:sz w:val="24"/>
                <w:szCs w:val="24"/>
              </w:rPr>
              <w:t>peer-reviewed publications (by scientists in charge, recruited/seconded fellows and other authors)</w:t>
            </w:r>
          </w:p>
        </w:tc>
        <w:tc>
          <w:tcPr>
            <w:tcW w:w="861"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84.8</w:t>
            </w:r>
          </w:p>
        </w:tc>
        <w:tc>
          <w:tcPr>
            <w:tcW w:w="915"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90.2</w:t>
            </w:r>
          </w:p>
        </w:tc>
        <w:tc>
          <w:tcPr>
            <w:tcW w:w="936"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91.4</w:t>
            </w:r>
          </w:p>
        </w:tc>
        <w:tc>
          <w:tcPr>
            <w:tcW w:w="1006"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90.0</w:t>
            </w:r>
          </w:p>
        </w:tc>
      </w:tr>
      <w:tr w:rsidR="00E535A0">
        <w:trPr>
          <w:trHeight w:val="409"/>
        </w:trPr>
        <w:tc>
          <w:tcPr>
            <w:tcW w:w="3335"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Has extended/will extend research dimensions through joint, multidisciplinary, intersectoral and emerging supra-disciplinary fields</w:t>
            </w:r>
          </w:p>
        </w:tc>
        <w:tc>
          <w:tcPr>
            <w:tcW w:w="861"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85.9</w:t>
            </w:r>
          </w:p>
        </w:tc>
        <w:tc>
          <w:tcPr>
            <w:tcW w:w="915"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88.2</w:t>
            </w:r>
          </w:p>
        </w:tc>
        <w:tc>
          <w:tcPr>
            <w:tcW w:w="936"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89.2</w:t>
            </w:r>
          </w:p>
        </w:tc>
        <w:tc>
          <w:tcPr>
            <w:tcW w:w="1006"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88.4</w:t>
            </w:r>
          </w:p>
        </w:tc>
      </w:tr>
      <w:tr w:rsidR="00E535A0">
        <w:trPr>
          <w:trHeight w:val="409"/>
        </w:trPr>
        <w:tc>
          <w:tcPr>
            <w:tcW w:w="3335"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Has contributed/will contribute to applications for patents, trademarks, registered designs, etc.</w:t>
            </w:r>
          </w:p>
        </w:tc>
        <w:tc>
          <w:tcPr>
            <w:tcW w:w="861"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46.0</w:t>
            </w:r>
          </w:p>
        </w:tc>
        <w:tc>
          <w:tcPr>
            <w:tcW w:w="915"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42.2</w:t>
            </w:r>
          </w:p>
        </w:tc>
        <w:tc>
          <w:tcPr>
            <w:tcW w:w="936"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38.3</w:t>
            </w:r>
          </w:p>
        </w:tc>
        <w:tc>
          <w:tcPr>
            <w:tcW w:w="1006"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40.8</w:t>
            </w:r>
          </w:p>
        </w:tc>
      </w:tr>
      <w:tr w:rsidR="00E535A0">
        <w:trPr>
          <w:trHeight w:val="409"/>
        </w:trPr>
        <w:tc>
          <w:tcPr>
            <w:tcW w:w="3335"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Has contributed/will contribute to innovation through the development of new processes and products</w:t>
            </w:r>
          </w:p>
        </w:tc>
        <w:tc>
          <w:tcPr>
            <w:tcW w:w="861"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73.4</w:t>
            </w:r>
          </w:p>
        </w:tc>
        <w:tc>
          <w:tcPr>
            <w:tcW w:w="915"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63.2</w:t>
            </w:r>
          </w:p>
        </w:tc>
        <w:tc>
          <w:tcPr>
            <w:tcW w:w="936" w:type="dxa"/>
          </w:tcPr>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58.2</w:t>
            </w:r>
          </w:p>
        </w:tc>
        <w:tc>
          <w:tcPr>
            <w:tcW w:w="1006"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62.2</w:t>
            </w:r>
          </w:p>
        </w:tc>
      </w:tr>
    </w:tbl>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Source: Survey of MC beneficiary organisations, PPMI 2013</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FP7 People SP promote the development of European research careers and to make Europe more attractive to the best researchers?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development of European research careers was the primary </w:t>
      </w:r>
      <w:r>
        <w:rPr>
          <w:rFonts w:ascii="Times New Roman" w:hAnsi="Times New Roman" w:cs="Times New Roman"/>
          <w:noProof/>
          <w:sz w:val="24"/>
          <w:szCs w:val="24"/>
        </w:rPr>
        <w:t>objective of the People Programme.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 were highly effective in attracting talent to Europe, strengthening research mobility and enhancing international cooperation and networking.</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was a spillover effect in organisations participating in the host-dr</w:t>
      </w:r>
      <w:r>
        <w:rPr>
          <w:rFonts w:ascii="Times New Roman" w:hAnsi="Times New Roman" w:cs="Times New Roman"/>
          <w:noProof/>
          <w:sz w:val="24"/>
          <w:szCs w:val="24"/>
        </w:rPr>
        <w:t>iven MCA from their MC projects to other organisational practices. The following practices of MC beneficiaries for managing the careers of other (non-MC) researchers were most affected: offering more mobility opportunities for researchers (48%), introducin</w:t>
      </w:r>
      <w:r>
        <w:rPr>
          <w:rFonts w:ascii="Times New Roman" w:hAnsi="Times New Roman" w:cs="Times New Roman"/>
          <w:noProof/>
          <w:sz w:val="24"/>
          <w:szCs w:val="24"/>
        </w:rPr>
        <w:t>g new types of training for researchers (41%), better public advertising of research job vacancies (41%), advancing career development, advice and job placement services for researchers (35%), introducing new methods for the supervision of researchers (31%</w:t>
      </w:r>
      <w:r>
        <w:rPr>
          <w:rFonts w:ascii="Times New Roman" w:hAnsi="Times New Roman" w:cs="Times New Roman"/>
          <w:noProof/>
          <w:sz w:val="24"/>
          <w:szCs w:val="24"/>
        </w:rPr>
        <w:t>) and introducing new welcoming or support services for researchers (also 31%). Contracts with full social security were introduced to researchers (13%), working conditions for researchers were improved and made more flexible (19%) and salaries of research</w:t>
      </w:r>
      <w:r>
        <w:rPr>
          <w:rFonts w:ascii="Times New Roman" w:hAnsi="Times New Roman" w:cs="Times New Roman"/>
          <w:noProof/>
          <w:sz w:val="24"/>
          <w:szCs w:val="24"/>
        </w:rPr>
        <w:t>ers were made more financially attractive (21%). The spillover effect of the MCA on the beneficiary organisations was quite considerable in the latter areas, taking into account the challenges faced by research institutions.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MCAs set best practice in Euro</w:t>
      </w:r>
      <w:r>
        <w:rPr>
          <w:rFonts w:ascii="Times New Roman" w:hAnsi="Times New Roman" w:cs="Times New Roman"/>
          <w:noProof/>
          <w:sz w:val="24"/>
          <w:szCs w:val="24"/>
        </w:rPr>
        <w:t xml:space="preserve">pe in the field of researchers' career development. Principles set out in the European Charter and Code were in-built in all MCAs and were a fundamental element during the evaluation process.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MCAs strongly promoted and encouraged using employment con</w:t>
      </w:r>
      <w:r>
        <w:rPr>
          <w:rFonts w:ascii="Times New Roman" w:hAnsi="Times New Roman" w:cs="Times New Roman"/>
          <w:noProof/>
          <w:sz w:val="24"/>
          <w:szCs w:val="24"/>
        </w:rPr>
        <w:t>tracts for researchers with full social coverage instead of fixed-amount fellowships. In this way, MCAs were setting professional standards for researchers, which the European Commission wishes to be applied all over Europe and for researchers at all stage</w:t>
      </w:r>
      <w:r>
        <w:rPr>
          <w:rFonts w:ascii="Times New Roman" w:hAnsi="Times New Roman" w:cs="Times New Roman"/>
          <w:noProof/>
          <w:sz w:val="24"/>
          <w:szCs w:val="24"/>
        </w:rPr>
        <w:t>s of career, starting with a PhD level. For instance, significant impacts relating to contract permanence, salaries and working conditions were reported by fellows in the FP6 ex-post evaluation or by organisations in the FP7 mid-term evaluation of MCAs.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w:t>
      </w:r>
      <w:r>
        <w:rPr>
          <w:rFonts w:ascii="Times New Roman" w:hAnsi="Times New Roman" w:cs="Times New Roman"/>
          <w:noProof/>
          <w:sz w:val="24"/>
          <w:szCs w:val="24"/>
        </w:rPr>
        <w:t xml:space="preserve">ome 80% of the MC fellows estimated that their fellowship experience improved their career prospects. 95.4% of MCA fellows have been in employment positions two years after the end of their fellowship. MCA fellows are also more likely (+8%) of obtaining a </w:t>
      </w:r>
      <w:r>
        <w:rPr>
          <w:rFonts w:ascii="Times New Roman" w:hAnsi="Times New Roman" w:cs="Times New Roman"/>
          <w:noProof/>
          <w:sz w:val="24"/>
          <w:szCs w:val="24"/>
        </w:rPr>
        <w:t>permanent position after the fellowship.</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MCA programme attracted international talent, opening up the European Research Area. MCA-supported researchers represented over 140 different nationalities. The research institutes hosting Marie Curie researche</w:t>
      </w:r>
      <w:r>
        <w:rPr>
          <w:rFonts w:ascii="Times New Roman" w:hAnsi="Times New Roman" w:cs="Times New Roman"/>
          <w:noProof/>
          <w:sz w:val="24"/>
          <w:szCs w:val="24"/>
        </w:rPr>
        <w:t>rs were located in more than 80 countries. Nearly 34% of MCA-supported researchers were nationals of countries outside the EU Member States or Associated Countries. 76% of the MCA beneficiaries indicated that it provided more opportunities to attract resea</w:t>
      </w:r>
      <w:r>
        <w:rPr>
          <w:rFonts w:ascii="Times New Roman" w:hAnsi="Times New Roman" w:cs="Times New Roman"/>
          <w:noProof/>
          <w:sz w:val="24"/>
          <w:szCs w:val="24"/>
        </w:rPr>
        <w:t>rchers to their organisation from abroad.</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 have also contributed to retaining the best researchers in Europe. 46% of researchers coming to the EU from non-European industrialised countries stayed in Europe after the end of their Marie Curie fellowship.</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 were a good opportunity to convince researchers to take up long-term careers within enterprises, especially SMEs. Thanks to the MCAs, businesses were encouraged to be more involved in the career development of experienced researchers, as well in doct</w:t>
      </w:r>
      <w:r>
        <w:rPr>
          <w:rFonts w:ascii="Times New Roman" w:hAnsi="Times New Roman" w:cs="Times New Roman"/>
          <w:noProof/>
          <w:sz w:val="24"/>
          <w:szCs w:val="24"/>
        </w:rPr>
        <w:t xml:space="preserve">oral training, so that skills better match industry needs. Mobility of researchers also shortened the distance between the academia and the business by filling the existing gap between the two sectors. The achievement of this intersectoral cooperation has </w:t>
      </w:r>
      <w:r>
        <w:rPr>
          <w:rFonts w:ascii="Times New Roman" w:hAnsi="Times New Roman" w:cs="Times New Roman"/>
          <w:noProof/>
          <w:sz w:val="24"/>
          <w:szCs w:val="24"/>
        </w:rPr>
        <w:t>largely been accomplished through the ITN and IAPP schemes, which constitute half of the People Programme's budget. A broad spectrum of small and large enterprises was involved in the training and career development of researchers, SMEs being largely invol</w:t>
      </w:r>
      <w:r>
        <w:rPr>
          <w:rFonts w:ascii="Times New Roman" w:hAnsi="Times New Roman" w:cs="Times New Roman"/>
          <w:noProof/>
          <w:sz w:val="24"/>
          <w:szCs w:val="24"/>
        </w:rPr>
        <w:t>ved (50% of all businesses participating).</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MCAs actively contributed to counterbalance gender inequality in all research areas. Under FP7 out of the total number of researchers nearly 40% were women. An important fact to be noticed is that success rates o</w:t>
      </w:r>
      <w:r>
        <w:rPr>
          <w:rFonts w:ascii="Times New Roman" w:hAnsi="Times New Roman" w:cs="Times New Roman"/>
          <w:noProof/>
          <w:sz w:val="24"/>
          <w:szCs w:val="24"/>
        </w:rPr>
        <w:t>f male and female candidates to Marie Curie individual fellowships were statistically very similar, i.e. there was no discrimination for women applicants. In addition, family-friendly measures were set at contractual level and adopted in all Marie Curie pr</w:t>
      </w:r>
      <w:r>
        <w:rPr>
          <w:rFonts w:ascii="Times New Roman" w:hAnsi="Times New Roman" w:cs="Times New Roman"/>
          <w:noProof/>
          <w:sz w:val="24"/>
          <w:szCs w:val="24"/>
        </w:rPr>
        <w:t>ojects. In particular, the family situation of the researcher was taken into account for fixing the amount of mobility allowance to which all Marie Curie researchers were entitled. A dedicated panel (Career Restart Panel – CAR) was introduced under the Mar</w:t>
      </w:r>
      <w:r>
        <w:rPr>
          <w:rFonts w:ascii="Times New Roman" w:hAnsi="Times New Roman" w:cs="Times New Roman"/>
          <w:noProof/>
          <w:sz w:val="24"/>
          <w:szCs w:val="24"/>
        </w:rPr>
        <w:t>ie Curie Intra-European Fellowships (IEF) in the 2010 People Work Programme with the aim to better ensure equal opportunities and encourage the return into the career after a break.</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To further develop the skills and competences of the next generation of r</w:t>
      </w:r>
      <w:r>
        <w:rPr>
          <w:rFonts w:ascii="Times New Roman" w:hAnsi="Times New Roman" w:cs="Times New Roman"/>
          <w:noProof/>
          <w:sz w:val="24"/>
          <w:szCs w:val="24"/>
        </w:rPr>
        <w:t>esearchers to deliver on innovation and growth, a pilot on European Industrial Doctorates (EID) was launched in 2011. The EID proposed to enrol each doctoral candidate in industrial research for at least 50% of the time of their fellowship. The FP7 MCA sup</w:t>
      </w:r>
      <w:r>
        <w:rPr>
          <w:rFonts w:ascii="Times New Roman" w:hAnsi="Times New Roman" w:cs="Times New Roman"/>
          <w:noProof/>
          <w:sz w:val="24"/>
          <w:szCs w:val="24"/>
        </w:rPr>
        <w:t>ported 58 EID projects in which some 240 PhD candidates have been trained.</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COFUND fellowships were contributing both quantitatively and qualitatively to the reinforcement of the human resource potential. The quantitative improvements were evident from the</w:t>
      </w:r>
      <w:r>
        <w:rPr>
          <w:rFonts w:ascii="Times New Roman" w:hAnsi="Times New Roman" w:cs="Times New Roman"/>
          <w:noProof/>
          <w:sz w:val="24"/>
          <w:szCs w:val="24"/>
        </w:rPr>
        <w:t xml:space="preserve"> number of fellowships which have been created and filled. The qualitative improvements have been reported on by both individual fellows and their host institutions. This included the strengthening of research capacities, of research capabilities and of re</w:t>
      </w:r>
      <w:r>
        <w:rPr>
          <w:rFonts w:ascii="Times New Roman" w:hAnsi="Times New Roman" w:cs="Times New Roman"/>
          <w:noProof/>
          <w:sz w:val="24"/>
          <w:szCs w:val="24"/>
        </w:rPr>
        <w:t>search networks.  Establishing and managing a COFUND programme has affected the administrative and operational procedures of around a third of the organisations concerned, mostly in terms of increasing the openness of recruitment to trans-national mobility</w:t>
      </w:r>
      <w:r>
        <w:rPr>
          <w:rFonts w:ascii="Times New Roman" w:hAnsi="Times New Roman" w:cs="Times New Roman"/>
          <w:noProof/>
          <w:sz w:val="24"/>
          <w:szCs w:val="24"/>
        </w:rPr>
        <w:t xml:space="preserve"> and the use of independent/peer review in selection processes. Improvements have also taken place in the transparency of procedures, in line with the European Charter and Code.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FP7 People SP provide support key Community policies?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Marie Curie</w:t>
      </w:r>
      <w:r>
        <w:rPr>
          <w:rFonts w:ascii="Times New Roman" w:hAnsi="Times New Roman" w:cs="Times New Roman"/>
          <w:noProof/>
          <w:sz w:val="24"/>
          <w:szCs w:val="24"/>
        </w:rPr>
        <w:t xml:space="preserve"> Actions (MCAs) contribute actively to a knowledge-based economy through a coherent framework addressing European needs for more researchers, better career opportunities in all research sectors and development of key skills to meet future challenges.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in-built bottom-up approach of the programme helped fund research in the areas which are not necessarily seen as priorities but may become so in the future. As a consequence, unknown future challenges are also covered and Europe will be ready to face them </w:t>
      </w:r>
      <w:r>
        <w:rPr>
          <w:rFonts w:ascii="Times New Roman" w:hAnsi="Times New Roman" w:cs="Times New Roman"/>
          <w:noProof/>
          <w:sz w:val="24"/>
          <w:szCs w:val="24"/>
        </w:rPr>
        <w:t>when they occur.</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To meet major societal challenges, critical mass is needed. MCA, thanks to their focus on knowledge sharing and bridging the gap between research sectors and disciplines, contribute to this objective.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FP7 People SP increase avail</w:t>
      </w:r>
      <w:r>
        <w:rPr>
          <w:rFonts w:ascii="Times New Roman" w:hAnsi="Times New Roman" w:cs="Times New Roman"/>
          <w:b/>
          <w:noProof/>
          <w:sz w:val="24"/>
          <w:szCs w:val="24"/>
        </w:rPr>
        <w:t>ability, coordination and access in relation to top-level European scientific and technological infrastructure?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To enhance dissemination and public engagement, beneficiaries of the MCAs are required to plan suitable public outreach activities. At the progr</w:t>
      </w:r>
      <w:r>
        <w:rPr>
          <w:rFonts w:ascii="Times New Roman" w:hAnsi="Times New Roman" w:cs="Times New Roman"/>
          <w:noProof/>
          <w:sz w:val="24"/>
          <w:szCs w:val="24"/>
        </w:rPr>
        <w:t>amme level, the Researchers' Night activities were increasing the awareness of the general public about the role of researchers and the key benefits they bring to society. Researchers’ Night was organised as a unique event taking place all over Europe on t</w:t>
      </w:r>
      <w:r>
        <w:rPr>
          <w:rFonts w:ascii="Times New Roman" w:hAnsi="Times New Roman" w:cs="Times New Roman"/>
          <w:noProof/>
          <w:sz w:val="24"/>
          <w:szCs w:val="24"/>
        </w:rPr>
        <w:t xml:space="preserve">he last Friday of September. The success and impact of this annual event since 2005 both in terms of number of people reached and the benefits to the Marie Curie programme justified its annual frequency. In 2013 only, nearly 1.3 million people of all ages </w:t>
      </w:r>
      <w:r>
        <w:rPr>
          <w:rFonts w:ascii="Times New Roman" w:hAnsi="Times New Roman" w:cs="Times New Roman"/>
          <w:noProof/>
          <w:sz w:val="24"/>
          <w:szCs w:val="24"/>
        </w:rPr>
        <w:t>participated in the Researchers’ Night, included 600 000 children, who could take part in experiments and interactive science shows, as well as try out equipment in research laboratories that would normally be restricted.</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much did FP People SP contrib</w:t>
      </w:r>
      <w:r>
        <w:rPr>
          <w:rFonts w:ascii="Times New Roman" w:hAnsi="Times New Roman" w:cs="Times New Roman"/>
          <w:b/>
          <w:noProof/>
          <w:sz w:val="24"/>
          <w:szCs w:val="24"/>
        </w:rPr>
        <w:t>ute to job creation?</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People Programme budget was directly funding 50 000 researchers, offering them high quality fellowships with employment contracts and full social security coverage. The training provided during the MCA fellowships enhanced </w:t>
      </w:r>
      <w:r>
        <w:rPr>
          <w:rFonts w:ascii="Times New Roman" w:hAnsi="Times New Roman" w:cs="Times New Roman"/>
          <w:noProof/>
          <w:sz w:val="24"/>
          <w:szCs w:val="24"/>
        </w:rPr>
        <w:t>researchers' skills and competences and prepared them for rewarding careers in both the public and private sector. Two years after the end of their fellowship, 95% of MCA fellows have been in employment positions.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the programme promoted a model o</w:t>
      </w:r>
      <w:r>
        <w:rPr>
          <w:rFonts w:ascii="Times New Roman" w:hAnsi="Times New Roman" w:cs="Times New Roman"/>
          <w:noProof/>
          <w:sz w:val="24"/>
          <w:szCs w:val="24"/>
        </w:rPr>
        <w:t>f open, transparent and merit-based recruitment and provided a stimulus to enter and remain in the researcher profession.</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the results of FP7 People SP contribute to the achievements of the new Commission's priorities?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MCA are instrumental to</w:t>
      </w:r>
      <w:r>
        <w:rPr>
          <w:rFonts w:ascii="Times New Roman" w:hAnsi="Times New Roman" w:cs="Times New Roman"/>
          <w:noProof/>
          <w:sz w:val="24"/>
          <w:szCs w:val="24"/>
        </w:rPr>
        <w:t xml:space="preserve"> boost skills and jobs of the next generation of more entrepreneurial European researchers.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MCA have proved highly relevant in terms of tackling the most pressing needs and challenges related to the implementation of research and innovation policy as well </w:t>
      </w:r>
      <w:r>
        <w:rPr>
          <w:rFonts w:ascii="Times New Roman" w:hAnsi="Times New Roman" w:cs="Times New Roman"/>
          <w:noProof/>
          <w:sz w:val="24"/>
          <w:szCs w:val="24"/>
        </w:rPr>
        <w:t>as to the competitiveness and socio-economic needs of Europe: Europe’s relative lack of competitiveness in attracting highly qualified researchers, insufficient funding for training and career development of researchers and a relatively small share of rese</w:t>
      </w:r>
      <w:r>
        <w:rPr>
          <w:rFonts w:ascii="Times New Roman" w:hAnsi="Times New Roman" w:cs="Times New Roman"/>
          <w:noProof/>
          <w:sz w:val="24"/>
          <w:szCs w:val="24"/>
        </w:rPr>
        <w:t xml:space="preserve">archers working in the business sector.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MCA have boosted employment of young researchers and contributed to their greater mobility and career progression. The programme promoted free movement of knowledge and opening of the ERA to the world, increasin</w:t>
      </w:r>
      <w:r>
        <w:rPr>
          <w:rFonts w:ascii="Times New Roman" w:hAnsi="Times New Roman" w:cs="Times New Roman"/>
          <w:noProof/>
          <w:sz w:val="24"/>
          <w:szCs w:val="24"/>
        </w:rPr>
        <w:t>g the number of researchers in Europe and creating more attractive opportunities and preconditions to choose a research career, also in terms of promoting excellence of research training that provides adequate competences for the evolving needs of both pub</w:t>
      </w:r>
      <w:r>
        <w:rPr>
          <w:rFonts w:ascii="Times New Roman" w:hAnsi="Times New Roman" w:cs="Times New Roman"/>
          <w:noProof/>
          <w:sz w:val="24"/>
          <w:szCs w:val="24"/>
        </w:rPr>
        <w:t>lic and private employers.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special role of MCA funding was acknowledged during the adoption process for the Investment Plan for Europe where the Marie Skłodowska-Curie actions, together with ERC and widening participation actions, did not receive any c</w:t>
      </w:r>
      <w:r>
        <w:rPr>
          <w:rFonts w:ascii="Times New Roman" w:hAnsi="Times New Roman" w:cs="Times New Roman"/>
          <w:noProof/>
          <w:sz w:val="24"/>
          <w:szCs w:val="24"/>
        </w:rPr>
        <w:t>ut to its funding from the levels agreed in the Horizon 2020 legislation.</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was FP7 People SP coherent with other EU actions (CIP, ESF) and EU policy?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People Programme objectives and activities were fully coherent with the EU actions contr</w:t>
      </w:r>
      <w:r>
        <w:rPr>
          <w:rFonts w:ascii="Times New Roman" w:hAnsi="Times New Roman" w:cs="Times New Roman"/>
          <w:noProof/>
          <w:sz w:val="24"/>
          <w:szCs w:val="24"/>
        </w:rPr>
        <w:t xml:space="preserve">ibuting towards Europe 2020 objectives and addressing three flagship initiatives "Innovation Union", "Youth on the Move", and "Agenda for new skills and jobs".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programme helped to create strong links between the ERA and the European Higher Education A</w:t>
      </w:r>
      <w:r>
        <w:rPr>
          <w:rFonts w:ascii="Times New Roman" w:hAnsi="Times New Roman" w:cs="Times New Roman"/>
          <w:noProof/>
          <w:sz w:val="24"/>
          <w:szCs w:val="24"/>
        </w:rPr>
        <w:t>rea, aiming at far-reaching changes in research and higher education systems in Europe.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Individual mobility, focus on skills and employability, networking, intensification of exchanges and cooperation between institutions were key drivers of quality, have </w:t>
      </w:r>
      <w:r>
        <w:rPr>
          <w:rFonts w:ascii="Times New Roman" w:hAnsi="Times New Roman" w:cs="Times New Roman"/>
          <w:noProof/>
          <w:sz w:val="24"/>
          <w:szCs w:val="24"/>
        </w:rPr>
        <w:t>strengthened national systems and contributed to the modernisation agenda.</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Doctoral level training supported by the People Programme acted at the crossroads between higher education and research, Joint doctorates, supported by both the People and the Erasm</w:t>
      </w:r>
      <w:r>
        <w:rPr>
          <w:rFonts w:ascii="Times New Roman" w:hAnsi="Times New Roman" w:cs="Times New Roman"/>
          <w:noProof/>
          <w:sz w:val="24"/>
          <w:szCs w:val="24"/>
        </w:rPr>
        <w:t>us Mundus programme, enhanced greater structural co-operation between universities in terms of programme design and mutual recognition of qualifications.</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 People Programme created regional impacts and synergies with the Structural Funds. One of the succ</w:t>
      </w:r>
      <w:r>
        <w:rPr>
          <w:rFonts w:ascii="Times New Roman" w:hAnsi="Times New Roman" w:cs="Times New Roman"/>
          <w:noProof/>
          <w:sz w:val="24"/>
          <w:szCs w:val="24"/>
        </w:rPr>
        <w:t>essful MCA-funded examples could be the SoMoPro fellowship programme of the South Moravian Region (Czech Republic).  SoMoPro and SoMoPro II programmes were co-funded by MCA and aimed at providing training and career development for researchers and attracti</w:t>
      </w:r>
      <w:r>
        <w:rPr>
          <w:rFonts w:ascii="Times New Roman" w:hAnsi="Times New Roman" w:cs="Times New Roman"/>
          <w:noProof/>
          <w:sz w:val="24"/>
          <w:szCs w:val="24"/>
        </w:rPr>
        <w:t>ng skilled researchers to come to and carry out their work in the region. The programmes helped the region in developing its smart specialisation strategy and combining funding from FP7 with Structural Funds investments in research and innovation infrastru</w:t>
      </w:r>
      <w:r>
        <w:rPr>
          <w:rFonts w:ascii="Times New Roman" w:hAnsi="Times New Roman" w:cs="Times New Roman"/>
          <w:noProof/>
          <w:sz w:val="24"/>
          <w:szCs w:val="24"/>
        </w:rPr>
        <w:t>cture.</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Which was the added value of FP7 People SP when compared with national programmes?</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MCAs have made remarkable progress to promote mobility, both transnational and intersectoral, and to open research careers at European and international level, with e</w:t>
      </w:r>
      <w:r>
        <w:rPr>
          <w:rFonts w:ascii="Times New Roman" w:eastAsia="Times New Roman" w:hAnsi="Times New Roman" w:cs="Times New Roman"/>
          <w:noProof/>
          <w:sz w:val="24"/>
          <w:szCs w:val="24"/>
          <w:lang w:eastAsia="en-GB"/>
        </w:rPr>
        <w:t>xcellent employment and working conditions following the principles of the European Charter and Code. There is no equivalent in Member States as far as their scale and scope, funding and international character, as well as the generation and transfer of kn</w:t>
      </w:r>
      <w:r>
        <w:rPr>
          <w:rFonts w:ascii="Times New Roman" w:eastAsia="Times New Roman" w:hAnsi="Times New Roman" w:cs="Times New Roman"/>
          <w:noProof/>
          <w:sz w:val="24"/>
          <w:szCs w:val="24"/>
          <w:lang w:eastAsia="en-GB"/>
        </w:rPr>
        <w:t>owledge are concerned.</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added value of the MCA was high in terms of providing beneficiary researchers with better career development and mobility opportunities, increasing the volume and scope of research, and providing the example of good practice for </w:t>
      </w:r>
      <w:r>
        <w:rPr>
          <w:rFonts w:ascii="Times New Roman" w:eastAsia="Times New Roman" w:hAnsi="Times New Roman" w:cs="Times New Roman"/>
          <w:noProof/>
          <w:sz w:val="24"/>
          <w:szCs w:val="24"/>
          <w:lang w:eastAsia="en-GB"/>
        </w:rPr>
        <w:t>national authorities.</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MCAs have strengthened the resources of those institutions able to attract researchers internationally and thereby encouraged the spread of centres of excellence around the Union.</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MCAs have brought together the best European </w:t>
      </w:r>
      <w:r>
        <w:rPr>
          <w:rFonts w:ascii="Times New Roman" w:eastAsia="Times New Roman" w:hAnsi="Times New Roman" w:cs="Times New Roman"/>
          <w:noProof/>
          <w:sz w:val="24"/>
          <w:szCs w:val="24"/>
          <w:lang w:eastAsia="en-GB"/>
        </w:rPr>
        <w:t>and non-European actors in research. In FP7 all the 100 best ranked European universities in the Shanghai ranking list have been actively involved in Marie Curie projects. At the same time, 65% of the outgoing European researches have carried out part of t</w:t>
      </w:r>
      <w:r>
        <w:rPr>
          <w:rFonts w:ascii="Times New Roman" w:eastAsia="Times New Roman" w:hAnsi="Times New Roman" w:cs="Times New Roman"/>
          <w:noProof/>
          <w:sz w:val="24"/>
          <w:szCs w:val="24"/>
          <w:lang w:eastAsia="en-GB"/>
        </w:rPr>
        <w:t>heir research projects in the top-50 world universities. These results go far beyond those achieved by national programmes which do not have the same means and influence in terms of international openness.</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MCAs have also demonstrated the capability of diss</w:t>
      </w:r>
      <w:r>
        <w:rPr>
          <w:rFonts w:ascii="Times New Roman" w:eastAsia="Times New Roman" w:hAnsi="Times New Roman" w:cs="Times New Roman"/>
          <w:noProof/>
          <w:sz w:val="24"/>
          <w:szCs w:val="24"/>
          <w:lang w:eastAsia="en-GB"/>
        </w:rPr>
        <w:t>eminating good practice by influencing the initiation of similar programmes at the national level and by spreading the best practices in terms of research training and career development. The bottom-up approach taken by MCAs has also allowed a large majori</w:t>
      </w:r>
      <w:r>
        <w:rPr>
          <w:rFonts w:ascii="Times New Roman" w:eastAsia="Times New Roman" w:hAnsi="Times New Roman" w:cs="Times New Roman"/>
          <w:noProof/>
          <w:sz w:val="24"/>
          <w:szCs w:val="24"/>
          <w:lang w:eastAsia="en-GB"/>
        </w:rPr>
        <w:t>ty of institutions to train and upgrade the skills of a new generation of researchers able to tackle societal challenges.</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Long-lasting research collaborations between participants from private and public sectors have been created in the programme. The MCAs</w:t>
      </w:r>
      <w:r>
        <w:rPr>
          <w:rFonts w:ascii="Times New Roman" w:eastAsia="Times New Roman" w:hAnsi="Times New Roman" w:cs="Times New Roman"/>
          <w:noProof/>
          <w:sz w:val="24"/>
          <w:szCs w:val="24"/>
          <w:lang w:eastAsia="en-GB"/>
        </w:rPr>
        <w:t xml:space="preserve"> allowed industry and academia to collaborate on innovative research projects at a European scale, which otherwise would have not been supported. Networking opportunities and collaboration with academic institutions, as well as with other non-competing com</w:t>
      </w:r>
      <w:r>
        <w:rPr>
          <w:rFonts w:ascii="Times New Roman" w:eastAsia="Times New Roman" w:hAnsi="Times New Roman" w:cs="Times New Roman"/>
          <w:noProof/>
          <w:sz w:val="24"/>
          <w:szCs w:val="24"/>
          <w:lang w:eastAsia="en-GB"/>
        </w:rPr>
        <w:t>panies in an excellent interdisciplinary environment, were highly appreciated by industrial partners. By funding companies at the European level, the MCAs also increased the competition between European companies (not always existing at the national level)</w:t>
      </w:r>
      <w:r>
        <w:rPr>
          <w:rFonts w:ascii="Times New Roman" w:eastAsia="Times New Roman" w:hAnsi="Times New Roman" w:cs="Times New Roman"/>
          <w:noProof/>
          <w:sz w:val="24"/>
          <w:szCs w:val="24"/>
          <w:lang w:eastAsia="en-GB"/>
        </w:rPr>
        <w:t>, leading to higher levels of quality and excellence.</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stated by one of the beneficiaries: "Compared to what is available nationally, you can have much more variety of research, more researchers moving, more countries, and more industry partners involved</w:t>
      </w:r>
      <w:r>
        <w:rPr>
          <w:rFonts w:ascii="Times New Roman" w:eastAsia="Times New Roman" w:hAnsi="Times New Roman" w:cs="Times New Roman"/>
          <w:noProof/>
          <w:sz w:val="24"/>
          <w:szCs w:val="24"/>
          <w:lang w:eastAsia="en-GB"/>
        </w:rPr>
        <w:t>. The national scheme is rather limited as regards the choice of topic. In comparison, [MCA funding] is much more flexible towards this and this has to be appreciated."</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regards the additionality of the MCAs, the evidence shows that only 1% of projects r</w:t>
      </w:r>
      <w:r>
        <w:rPr>
          <w:rFonts w:ascii="Times New Roman" w:eastAsia="Times New Roman" w:hAnsi="Times New Roman" w:cs="Times New Roman"/>
          <w:noProof/>
          <w:sz w:val="24"/>
          <w:szCs w:val="24"/>
          <w:lang w:eastAsia="en-GB"/>
        </w:rPr>
        <w:t>ejected by MCAs due to budgetary reasons were subsequently implemented as originally planned. Some 17% went ahead with the projects after some changes to the original design. 82% of non-successful applicants have abandoned the projects.</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Concerning the part</w:t>
      </w:r>
      <w:r>
        <w:rPr>
          <w:rFonts w:ascii="Times New Roman" w:eastAsia="Times New Roman" w:hAnsi="Times New Roman" w:cs="Times New Roman"/>
          <w:noProof/>
          <w:sz w:val="24"/>
          <w:szCs w:val="24"/>
          <w:lang w:eastAsia="en-GB"/>
        </w:rPr>
        <w:t>icipants that went ahead with the projects as originally planned or with some changes, the majority of the projects were implemented using own funds (36%) or by obtaining funding from national/regional R&amp;D funding schemes (35%). Only 6% of respondents rece</w:t>
      </w:r>
      <w:r>
        <w:rPr>
          <w:rFonts w:ascii="Times New Roman" w:eastAsia="Times New Roman" w:hAnsi="Times New Roman" w:cs="Times New Roman"/>
          <w:noProof/>
          <w:sz w:val="24"/>
          <w:szCs w:val="24"/>
          <w:lang w:eastAsia="en-GB"/>
        </w:rPr>
        <w:t>ived funding from other international R&amp;D funding schemes. However, all of the projects financed under international R&amp;D funding schemes were implemented with some changes to their design. The findings suggested thus that no directly comparable internation</w:t>
      </w:r>
      <w:r>
        <w:rPr>
          <w:rFonts w:ascii="Times New Roman" w:eastAsia="Times New Roman" w:hAnsi="Times New Roman" w:cs="Times New Roman"/>
          <w:noProof/>
          <w:sz w:val="24"/>
          <w:szCs w:val="24"/>
          <w:lang w:eastAsia="en-GB"/>
        </w:rPr>
        <w:t>al R&amp;D programme existed that could have financed the same projects.</w:t>
      </w:r>
    </w:p>
    <w:p w:rsidR="00E535A0" w:rsidRDefault="00C953F5">
      <w:pPr>
        <w:spacing w:line="240" w:lineRule="auto"/>
        <w:jc w:val="both"/>
        <w:rPr>
          <w:rFonts w:ascii="Times New Roman" w:hAnsi="Times New Roman" w:cs="Times New Roman"/>
          <w:b/>
          <w:i/>
          <w:noProof/>
          <w:sz w:val="24"/>
          <w:szCs w:val="24"/>
        </w:rPr>
      </w:pPr>
      <w:r>
        <w:rPr>
          <w:rFonts w:ascii="Times New Roman" w:eastAsia="Times New Roman" w:hAnsi="Times New Roman" w:cs="Times New Roman"/>
          <w:noProof/>
          <w:sz w:val="24"/>
          <w:szCs w:val="24"/>
          <w:lang w:eastAsia="en-GB"/>
        </w:rPr>
        <w:t>The MCA activities tended to have broader and more long-term research objectives, ran on a financially larger scale, had stronger networking and collaboration capacity and involved a larg</w:t>
      </w:r>
      <w:r>
        <w:rPr>
          <w:rFonts w:ascii="Times New Roman" w:eastAsia="Times New Roman" w:hAnsi="Times New Roman" w:cs="Times New Roman"/>
          <w:noProof/>
          <w:sz w:val="24"/>
          <w:szCs w:val="24"/>
          <w:lang w:eastAsia="en-GB"/>
        </w:rPr>
        <w:t>er number of international, industry and academia partners. For a significant majority of MCA beneficiaries, the projects strengthened their ability to do research beyond short-term needs, contributed to establishing R&amp;D as a regular part of their day-to-d</w:t>
      </w:r>
      <w:r>
        <w:rPr>
          <w:rFonts w:ascii="Times New Roman" w:eastAsia="Times New Roman" w:hAnsi="Times New Roman" w:cs="Times New Roman"/>
          <w:noProof/>
          <w:sz w:val="24"/>
          <w:szCs w:val="24"/>
          <w:lang w:eastAsia="en-GB"/>
        </w:rPr>
        <w:t>ay activities, and helped to achieve efficiency gains in terms of conducting research.</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People in H2020: continuity or evolution?</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People Programme and its MCA have been highly effective and efficient in meeting their set goals and objectives.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noProof/>
          <w:sz w:val="24"/>
          <w:szCs w:val="24"/>
        </w:rPr>
        <w:t>average success rate for the whole People Programme was 19%, while its main funding scheme, MCA ITN, covering nearly 45% of the People Programme budget, recorded a success rate of 10% only. With 50% of the overall MSCA budget, the ITN success rate continue</w:t>
      </w:r>
      <w:r>
        <w:rPr>
          <w:rFonts w:ascii="Times New Roman" w:eastAsia="Calibri" w:hAnsi="Times New Roman" w:cs="Times New Roman"/>
          <w:noProof/>
          <w:sz w:val="24"/>
          <w:szCs w:val="24"/>
        </w:rPr>
        <w:t>s to decrease and has plummeted only after the second call published under H2020 to as low as 6,8%.</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overall administrative efficiency of the People Programme, measured in terms of time-to-grant (272 days), was one of the highest in FP7 and by far bette</w:t>
      </w:r>
      <w:r>
        <w:rPr>
          <w:rFonts w:ascii="Times New Roman" w:eastAsia="Calibri" w:hAnsi="Times New Roman" w:cs="Times New Roman"/>
          <w:noProof/>
          <w:sz w:val="24"/>
          <w:szCs w:val="24"/>
        </w:rPr>
        <w:t>r than the FP7 average (313 days).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only criticism faced by the MCAs under FP7 (and its predecessor programme under FP6) referred to the need for "a more coherent and straightforward approach within the programme, and streamlining procedures within exis</w:t>
      </w:r>
      <w:r>
        <w:rPr>
          <w:rFonts w:ascii="Times New Roman" w:eastAsia="Calibri" w:hAnsi="Times New Roman" w:cs="Times New Roman"/>
          <w:noProof/>
          <w:sz w:val="24"/>
          <w:szCs w:val="24"/>
        </w:rPr>
        <w:t xml:space="preserve">ting actions". This issue has been addressed under Horizon 2020, where the MCA, re-named as Marie Skłodowska-Curie actions (MSCA), are part of the Excellent Science priority.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Under Horizon 2020, an important simplification effort was made, by extending th</w:t>
      </w:r>
      <w:r>
        <w:rPr>
          <w:rFonts w:ascii="Times New Roman" w:eastAsia="Calibri" w:hAnsi="Times New Roman" w:cs="Times New Roman"/>
          <w:noProof/>
          <w:sz w:val="24"/>
          <w:szCs w:val="24"/>
        </w:rPr>
        <w:t>e use of simplified forms of grants (unit costs), streamlining the MSCA funding schemes (from 11 to 4) and unifying the rules for:</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Innovative Training Networks (ITN): support for innovative initial training of researchers at doctoral level;</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Individual </w:t>
      </w:r>
      <w:r>
        <w:rPr>
          <w:rFonts w:ascii="Times New Roman" w:eastAsia="Calibri" w:hAnsi="Times New Roman" w:cs="Times New Roman"/>
          <w:noProof/>
          <w:sz w:val="24"/>
          <w:szCs w:val="24"/>
        </w:rPr>
        <w:t>Fellowships (IF): support for experienced researchers undertaking mobility between countries, optionally to the non-academic sector;</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Research and Innovation Staff Exchange (RISE): support for international and intersectoral cooperation and transfer of kn</w:t>
      </w:r>
      <w:r>
        <w:rPr>
          <w:rFonts w:ascii="Times New Roman" w:eastAsia="Calibri" w:hAnsi="Times New Roman" w:cs="Times New Roman"/>
          <w:noProof/>
          <w:sz w:val="24"/>
          <w:szCs w:val="24"/>
        </w:rPr>
        <w:t>owledge through the exchange of research and innovation personnel;</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Co-funding of regional, national and international programmes (COFUND): support for fellowships at doctoral and post-doctoral level involving mobility to or from another country.</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prog</w:t>
      </w:r>
      <w:r>
        <w:rPr>
          <w:rFonts w:ascii="Times New Roman" w:eastAsia="Calibri" w:hAnsi="Times New Roman" w:cs="Times New Roman"/>
          <w:noProof/>
          <w:sz w:val="24"/>
          <w:szCs w:val="24"/>
        </w:rPr>
        <w:t xml:space="preserve">ramme continues its focus on offering excellent opportunities for the career development of researchers. The MSCA's overall ambition is to empower and attract talent and to create an excellent framework for researchers' training in Europe.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addition to </w:t>
      </w:r>
      <w:r>
        <w:rPr>
          <w:rFonts w:ascii="Times New Roman" w:eastAsia="Calibri" w:hAnsi="Times New Roman" w:cs="Times New Roman"/>
          <w:noProof/>
          <w:sz w:val="24"/>
          <w:szCs w:val="24"/>
        </w:rPr>
        <w:t>the industrial doctorates introduced under FP7, the MSCA in Horizon 2020 also support joint doctorates as well as the co-funding of doctoral programmes to increase the leverage effect on regional, national and international funding programmes, thus bringin</w:t>
      </w:r>
      <w:r>
        <w:rPr>
          <w:rFonts w:ascii="Times New Roman" w:eastAsia="Calibri" w:hAnsi="Times New Roman" w:cs="Times New Roman"/>
          <w:noProof/>
          <w:sz w:val="24"/>
          <w:szCs w:val="24"/>
        </w:rPr>
        <w:t xml:space="preserve">g structural change to the way doctoral candidates are trained in Europe.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European Researchers' Night, a specific MSCA policy support action, continues financing outreach activities to communicate science to the general public, with a special emphasis</w:t>
      </w:r>
      <w:r>
        <w:rPr>
          <w:rFonts w:ascii="Times New Roman" w:eastAsia="Calibri" w:hAnsi="Times New Roman" w:cs="Times New Roman"/>
          <w:noProof/>
          <w:sz w:val="24"/>
          <w:szCs w:val="24"/>
        </w:rPr>
        <w:t xml:space="preserve"> on pupils and students. </w:t>
      </w:r>
    </w:p>
    <w:p w:rsidR="00E535A0" w:rsidRDefault="00C953F5">
      <w:pPr>
        <w:spacing w:line="240" w:lineRule="auto"/>
        <w:jc w:val="both"/>
        <w:rPr>
          <w:rFonts w:ascii="Times New Roman" w:hAnsi="Times New Roman" w:cs="Times New Roman"/>
          <w:b/>
          <w:noProof/>
          <w:sz w:val="24"/>
          <w:szCs w:val="24"/>
        </w:rPr>
      </w:pPr>
      <w:r>
        <w:rPr>
          <w:rFonts w:ascii="Times New Roman" w:eastAsia="Calibri" w:hAnsi="Times New Roman" w:cs="Times New Roman"/>
          <w:noProof/>
          <w:sz w:val="24"/>
          <w:szCs w:val="24"/>
        </w:rPr>
        <w:t>8% of the Horizon 2020 budget has been allocated to the MSCA, worth EUR 6.162 billion (current prices) for the 7-year period. This represents a 30% increase compared to FP7 and is a clear sign of recognition from the Member States</w:t>
      </w:r>
      <w:r>
        <w:rPr>
          <w:rFonts w:ascii="Times New Roman" w:eastAsia="Calibri" w:hAnsi="Times New Roman" w:cs="Times New Roman"/>
          <w:noProof/>
          <w:sz w:val="24"/>
          <w:szCs w:val="24"/>
        </w:rPr>
        <w:t xml:space="preserve"> of a strong added value of the programme and its long-track success record – the final amount allocated to MSCA is comparable to the original 2011 Commission proposal, even though the overall budget for Horizon 2020 was decreased during the negotiations b</w:t>
      </w:r>
      <w:r>
        <w:rPr>
          <w:rFonts w:ascii="Times New Roman" w:eastAsia="Calibri" w:hAnsi="Times New Roman" w:cs="Times New Roman"/>
          <w:noProof/>
          <w:sz w:val="24"/>
          <w:szCs w:val="24"/>
        </w:rPr>
        <w:t>y 12%.</w:t>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rsidR="00E535A0" w:rsidRDefault="00C953F5">
      <w:pPr>
        <w:pStyle w:val="berschrift1"/>
        <w:rPr>
          <w:noProof/>
          <w:szCs w:val="24"/>
        </w:rPr>
      </w:pPr>
      <w:bookmarkStart w:id="11" w:name="_Toc426640894"/>
      <w:bookmarkStart w:id="12" w:name="_Toc433998134"/>
      <w:bookmarkStart w:id="13" w:name="_Toc439752804"/>
      <w:r>
        <w:rPr>
          <w:noProof/>
          <w:szCs w:val="24"/>
        </w:rPr>
        <w:t>Capacities Specific Programme</w:t>
      </w:r>
      <w:bookmarkEnd w:id="11"/>
      <w:bookmarkEnd w:id="12"/>
      <w:bookmarkEnd w:id="13"/>
    </w:p>
    <w:p w:rsidR="00E535A0" w:rsidRDefault="00C953F5">
      <w:pPr>
        <w:spacing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Objectives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objectives of the Capacities Programme were to build the research capacities of research-performing organisations, and notably SMEs, facilitate more effective use of research infrastructures and pr</w:t>
      </w:r>
      <w:r>
        <w:rPr>
          <w:rFonts w:ascii="Times New Roman" w:hAnsi="Times New Roman" w:cs="Times New Roman"/>
          <w:noProof/>
          <w:sz w:val="24"/>
          <w:szCs w:val="24"/>
        </w:rPr>
        <w:t xml:space="preserve">omote more coherent development of research and innovation policies. </w:t>
      </w:r>
      <w:r>
        <w:rPr>
          <w:rFonts w:ascii="Times New Roman" w:eastAsia="Times New Roman" w:hAnsi="Times New Roman" w:cs="Times New Roman"/>
          <w:noProof/>
          <w:sz w:val="24"/>
          <w:szCs w:val="24"/>
          <w:lang w:eastAsia="en-GB"/>
        </w:rPr>
        <w:t>The programme was designed to support regional research-driven clusters and at the same time unlock the research potential in the EU’s convergence and outermost regions. Support was provided for horizontal actions and measures underlining international coo</w:t>
      </w:r>
      <w:r>
        <w:rPr>
          <w:rFonts w:ascii="Times New Roman" w:eastAsia="Times New Roman" w:hAnsi="Times New Roman" w:cs="Times New Roman"/>
          <w:noProof/>
          <w:sz w:val="24"/>
          <w:szCs w:val="24"/>
          <w:lang w:eastAsia="en-GB"/>
        </w:rPr>
        <w:t xml:space="preserve">peration. </w:t>
      </w:r>
      <w:r>
        <w:rPr>
          <w:rFonts w:ascii="Times New Roman" w:eastAsia="Times New Roman" w:hAnsi="Times New Roman" w:cs="Times New Roman"/>
          <w:noProof/>
          <w:sz w:val="24"/>
          <w:szCs w:val="24"/>
        </w:rPr>
        <w:t>It covered the seven following areas:</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 </w:t>
      </w:r>
      <w:hyperlink r:id="rId44" w:history="1">
        <w:r>
          <w:rPr>
            <w:rFonts w:ascii="Times New Roman" w:eastAsia="Times New Roman" w:hAnsi="Times New Roman" w:cs="Times New Roman"/>
            <w:noProof/>
            <w:sz w:val="24"/>
            <w:szCs w:val="24"/>
            <w:lang w:eastAsia="en-GB"/>
          </w:rPr>
          <w:t>Research infrastructures</w:t>
        </w:r>
      </w:hyperlink>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 </w:t>
      </w:r>
      <w:hyperlink r:id="rId45" w:history="1">
        <w:r>
          <w:rPr>
            <w:rFonts w:ascii="Times New Roman" w:eastAsia="Times New Roman" w:hAnsi="Times New Roman" w:cs="Times New Roman"/>
            <w:noProof/>
            <w:sz w:val="24"/>
            <w:szCs w:val="24"/>
            <w:lang w:eastAsia="en-GB"/>
          </w:rPr>
          <w:t>Research for the benefit of small and</w:t>
        </w:r>
        <w:r>
          <w:rPr>
            <w:rFonts w:ascii="Times New Roman" w:eastAsia="Times New Roman" w:hAnsi="Times New Roman" w:cs="Times New Roman"/>
            <w:noProof/>
            <w:sz w:val="24"/>
            <w:szCs w:val="24"/>
            <w:lang w:eastAsia="en-GB"/>
          </w:rPr>
          <w:t xml:space="preserve"> medium sized enterprises (SMEs)</w:t>
        </w:r>
      </w:hyperlink>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 </w:t>
      </w:r>
      <w:hyperlink r:id="rId46" w:history="1">
        <w:r>
          <w:rPr>
            <w:rFonts w:ascii="Times New Roman" w:eastAsia="Times New Roman" w:hAnsi="Times New Roman" w:cs="Times New Roman"/>
            <w:noProof/>
            <w:sz w:val="24"/>
            <w:szCs w:val="24"/>
            <w:lang w:eastAsia="en-GB"/>
          </w:rPr>
          <w:t>Regions of knowledge</w:t>
        </w:r>
      </w:hyperlink>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 </w:t>
      </w:r>
      <w:hyperlink r:id="rId47" w:history="1">
        <w:r>
          <w:rPr>
            <w:rFonts w:ascii="Times New Roman" w:eastAsia="Times New Roman" w:hAnsi="Times New Roman" w:cs="Times New Roman"/>
            <w:noProof/>
            <w:sz w:val="24"/>
            <w:szCs w:val="24"/>
            <w:lang w:eastAsia="en-GB"/>
          </w:rPr>
          <w:t>Research potential</w:t>
        </w:r>
      </w:hyperlink>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 </w:t>
      </w:r>
      <w:hyperlink r:id="rId48" w:history="1">
        <w:r>
          <w:rPr>
            <w:rFonts w:ascii="Times New Roman" w:eastAsia="Times New Roman" w:hAnsi="Times New Roman" w:cs="Times New Roman"/>
            <w:noProof/>
            <w:sz w:val="24"/>
            <w:szCs w:val="24"/>
            <w:lang w:eastAsia="en-GB"/>
          </w:rPr>
          <w:t>Science in society</w:t>
        </w:r>
      </w:hyperlink>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 </w:t>
      </w:r>
      <w:hyperlink r:id="rId49" w:history="1">
        <w:r>
          <w:rPr>
            <w:rFonts w:ascii="Times New Roman" w:eastAsia="Times New Roman" w:hAnsi="Times New Roman" w:cs="Times New Roman"/>
            <w:noProof/>
            <w:sz w:val="24"/>
            <w:szCs w:val="24"/>
            <w:lang w:eastAsia="en-GB"/>
          </w:rPr>
          <w:t>Support for the coherent development of research policies</w:t>
        </w:r>
      </w:hyperlink>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A</w:t>
      </w:r>
      <w:hyperlink r:id="rId50" w:history="1">
        <w:r>
          <w:rPr>
            <w:rFonts w:ascii="Times New Roman" w:eastAsia="Times New Roman" w:hAnsi="Times New Roman" w:cs="Times New Roman"/>
            <w:noProof/>
            <w:sz w:val="24"/>
            <w:szCs w:val="24"/>
            <w:lang w:eastAsia="en-GB"/>
          </w:rPr>
          <w:t>ctivities of international co-operation</w:t>
        </w:r>
      </w:hyperlink>
    </w:p>
    <w:p w:rsidR="00E535A0" w:rsidRDefault="00C953F5">
      <w:pPr>
        <w:spacing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Efficiency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 the course of FP7, the Capacities Specific Programme received just over 10,000 proposals, equivalent to 7.6% of all FP7 proposals. The success rate, 19%, mirr</w:t>
      </w:r>
      <w:r>
        <w:rPr>
          <w:rFonts w:ascii="Times New Roman" w:hAnsi="Times New Roman" w:cs="Times New Roman"/>
          <w:noProof/>
          <w:sz w:val="24"/>
          <w:szCs w:val="24"/>
        </w:rPr>
        <w:t>ored that for FP7 as a whole, although the average number of applicants per proposal was higher under the Capacities Programme. The average EC contribution was €1.87 million, which is close to the overall FP7 average.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overall efficiency of the Capaciti</w:t>
      </w:r>
      <w:r>
        <w:rPr>
          <w:rFonts w:ascii="Times New Roman" w:hAnsi="Times New Roman" w:cs="Times New Roman"/>
          <w:noProof/>
          <w:sz w:val="24"/>
          <w:szCs w:val="24"/>
        </w:rPr>
        <w:t>es Programme, measured in terms of time-to-grant (313 days), was close to the FP7 average.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regard to the Research Infrastructures activity, the programme managed to engage leading-edge organisations in the different fields. The programme was also </w:t>
      </w:r>
      <w:r>
        <w:rPr>
          <w:rFonts w:ascii="Times New Roman" w:hAnsi="Times New Roman" w:cs="Times New Roman"/>
          <w:noProof/>
          <w:sz w:val="24"/>
          <w:szCs w:val="24"/>
        </w:rPr>
        <w:t>efficient in achieving a relatively high participation and funding rate of organisations in smaller EU15 Member States and EU13 Member States, thus providing a sound basis for enhancing European cohesion.</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Research for the Benefit of SMEs activity prove</w:t>
      </w:r>
      <w:r>
        <w:rPr>
          <w:rFonts w:ascii="Times New Roman" w:hAnsi="Times New Roman" w:cs="Times New Roman"/>
          <w:noProof/>
          <w:sz w:val="24"/>
          <w:szCs w:val="24"/>
        </w:rPr>
        <w:t>d efficient in meeting its objectives. The participation share of SMEs is in excess of 60%, with two-thirds of projects coordinated by an SME.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efficiency of the Regions of Knowledge activity was assessed positively by project coordinators and participa</w:t>
      </w:r>
      <w:r>
        <w:rPr>
          <w:rFonts w:ascii="Times New Roman" w:hAnsi="Times New Roman" w:cs="Times New Roman"/>
          <w:noProof/>
          <w:sz w:val="24"/>
          <w:szCs w:val="24"/>
        </w:rPr>
        <w:t>nts. Programme management and responsiveness were considered efficient. Administrative management was considered to be more challenging, due to the complexity of a "triple helix" involvement in an EU programme focusing on research. The definition and imple</w:t>
      </w:r>
      <w:r>
        <w:rPr>
          <w:rFonts w:ascii="Times New Roman" w:hAnsi="Times New Roman" w:cs="Times New Roman"/>
          <w:noProof/>
          <w:sz w:val="24"/>
          <w:szCs w:val="24"/>
        </w:rPr>
        <w:t>mentation of objectives was considered to have improved significantly during FP7, with the strengthening of the focus on excellence and enhancing existing research-driven clusters.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evaluation of the Research Potential activity, it was effi</w:t>
      </w:r>
      <w:r>
        <w:rPr>
          <w:rFonts w:ascii="Times New Roman" w:hAnsi="Times New Roman" w:cs="Times New Roman"/>
          <w:noProof/>
          <w:sz w:val="24"/>
          <w:szCs w:val="24"/>
        </w:rPr>
        <w:t xml:space="preserve">cient in financing research groups, departments and centres to increase their role in the European Research Area by attracting experienced researchers; improving research quality; facilitating cooperation with the private sector and serving as a basis for </w:t>
      </w:r>
      <w:r>
        <w:rPr>
          <w:rFonts w:ascii="Times New Roman" w:hAnsi="Times New Roman" w:cs="Times New Roman"/>
          <w:noProof/>
          <w:sz w:val="24"/>
          <w:szCs w:val="24"/>
        </w:rPr>
        <w:t xml:space="preserve">obtaining additional support from regional or national authorities.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Science in Society orientation under FP7 of supporting larger and more strategic actions and this has been found to be efficient. The average number of partners in FP7 projects in thi</w:t>
      </w:r>
      <w:r>
        <w:rPr>
          <w:rFonts w:ascii="Times New Roman" w:hAnsi="Times New Roman" w:cs="Times New Roman"/>
          <w:noProof/>
          <w:sz w:val="24"/>
          <w:szCs w:val="24"/>
        </w:rPr>
        <w:t xml:space="preserve">s area was 40% greater than under FP6.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Coherent Development of Research Policies (CDRP) activity has focussed on boosting innovation-related aspects. In the early years of FP7, it supported the increasing emphasis on close-to-market activities such as</w:t>
      </w:r>
      <w:r>
        <w:rPr>
          <w:rFonts w:ascii="Times New Roman" w:hAnsi="Times New Roman" w:cs="Times New Roman"/>
          <w:noProof/>
          <w:sz w:val="24"/>
          <w:szCs w:val="24"/>
        </w:rPr>
        <w:t xml:space="preserve"> prototyping, testing, demonstration, demonstration and knowledge transfer. Jointly with the CIP, it has more recently provided co-financing for joint implementation of innovation procurement.   The CDRP has proved an efficient means of adapting support ov</w:t>
      </w:r>
      <w:r>
        <w:rPr>
          <w:rFonts w:ascii="Times New Roman" w:hAnsi="Times New Roman" w:cs="Times New Roman"/>
          <w:noProof/>
          <w:sz w:val="24"/>
          <w:szCs w:val="24"/>
        </w:rPr>
        <w:t>er time to match the evolution of research and innovation activities, notably in relation to improving the coherence and impact of EU policies and initiatives.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International Cooperation (INCO) activity has proved efficient in achieving a diversificatio</w:t>
      </w:r>
      <w:r>
        <w:rPr>
          <w:rFonts w:ascii="Times New Roman" w:hAnsi="Times New Roman" w:cs="Times New Roman"/>
          <w:noProof/>
          <w:sz w:val="24"/>
          <w:szCs w:val="24"/>
        </w:rPr>
        <w:t>n of project partners. In total, INCO activities under FP7 brought together a total of 1326 partners.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the Risk-Sharing Finance Facility (RSFF), the capital contribution increased from €2 billion to €2.420 billion, which has allowed the EIB to cover t</w:t>
      </w:r>
      <w:r>
        <w:rPr>
          <w:rFonts w:ascii="Times New Roman" w:hAnsi="Times New Roman" w:cs="Times New Roman"/>
          <w:noProof/>
          <w:sz w:val="24"/>
          <w:szCs w:val="24"/>
        </w:rPr>
        <w:t>he additional risk involved in lending to below investment-grade operations.</w:t>
      </w:r>
    </w:p>
    <w:p w:rsidR="00E535A0" w:rsidRDefault="00C953F5">
      <w:pPr>
        <w:spacing w:line="240" w:lineRule="auto"/>
        <w:rPr>
          <w:rFonts w:eastAsiaTheme="majorEastAsia"/>
          <w:bCs/>
          <w:noProof/>
          <w:sz w:val="26"/>
          <w:szCs w:val="26"/>
        </w:rPr>
      </w:pPr>
      <w:r>
        <w:rPr>
          <w:rFonts w:eastAsiaTheme="majorEastAsia"/>
          <w:bCs/>
          <w:noProof/>
          <w:sz w:val="26"/>
          <w:szCs w:val="26"/>
        </w:rPr>
        <w:br w:type="page"/>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 xml:space="preserve">13.1. </w:t>
      </w:r>
      <w:hyperlink r:id="rId51" w:history="1">
        <w:r>
          <w:rPr>
            <w:rFonts w:ascii="Times New Roman" w:eastAsiaTheme="majorEastAsia" w:hAnsi="Times New Roman" w:cs="Times New Roman"/>
            <w:b/>
            <w:bCs/>
            <w:noProof/>
            <w:sz w:val="24"/>
            <w:szCs w:val="24"/>
          </w:rPr>
          <w:t>Research Infrastructures</w:t>
        </w:r>
      </w:hyperlink>
      <w:r>
        <w:rPr>
          <w:rFonts w:ascii="Times New Roman" w:eastAsiaTheme="majorEastAsia" w:hAnsi="Times New Roman" w:cs="Times New Roman"/>
          <w:b/>
          <w:bCs/>
          <w:noProof/>
          <w:sz w:val="24"/>
          <w:szCs w:val="24"/>
        </w:rPr>
        <w:t xml:space="preserve"> (including eInfrastructures)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rPr>
        <w:t>The enhancement of the efficiency and effect</w:t>
      </w:r>
      <w:r>
        <w:rPr>
          <w:rFonts w:ascii="Times New Roman" w:eastAsia="Calibri" w:hAnsi="Times New Roman" w:cs="Times New Roman"/>
          <w:noProof/>
          <w:sz w:val="24"/>
          <w:szCs w:val="24"/>
        </w:rPr>
        <w:t>iveness of the European RI system was the primary objective of the FP7 RI programme including the optimisation of the research infrastructures landscape in Europe and the services that they offer, and the strengthening of their global relevance.</w:t>
      </w:r>
      <w:r>
        <w:rPr>
          <w:rFonts w:ascii="Times New Roman" w:eastAsia="Calibri" w:hAnsi="Times New Roman" w:cs="Times New Roman"/>
          <w:noProof/>
          <w:sz w:val="24"/>
          <w:szCs w:val="24"/>
          <w:lang w:eastAsia="en-GB"/>
        </w:rPr>
        <w:t xml:space="preserve"> </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rang</w:t>
      </w:r>
      <w:r>
        <w:rPr>
          <w:rFonts w:ascii="Times New Roman" w:eastAsia="Calibri" w:hAnsi="Times New Roman" w:cs="Times New Roman"/>
          <w:noProof/>
          <w:sz w:val="24"/>
          <w:szCs w:val="24"/>
          <w:lang w:eastAsia="en-GB"/>
        </w:rPr>
        <w:t>e of research infrastructures that was supported in the FP7 RI programme is very diverse, and reflects the new opportunities that digital, and communication technologies offer in terms of designing science research. They include centralised, as well as phy</w:t>
      </w:r>
      <w:r>
        <w:rPr>
          <w:rFonts w:ascii="Times New Roman" w:eastAsia="Calibri" w:hAnsi="Times New Roman" w:cs="Times New Roman"/>
          <w:noProof/>
          <w:sz w:val="24"/>
          <w:szCs w:val="24"/>
          <w:lang w:eastAsia="en-GB"/>
        </w:rPr>
        <w:t>sically distributed resources for research, covering major equipment or sets of instruments, in addition to knowledge-containing resources such as collections, archives and data banks, and ‘facilities that facilitate research facilities’, such as GRIDS and</w:t>
      </w:r>
      <w:r>
        <w:rPr>
          <w:rFonts w:ascii="Times New Roman" w:eastAsia="Calibri" w:hAnsi="Times New Roman" w:cs="Times New Roman"/>
          <w:noProof/>
          <w:sz w:val="24"/>
          <w:szCs w:val="24"/>
          <w:lang w:eastAsia="en-GB"/>
        </w:rPr>
        <w:t xml:space="preserve"> Supercomputers.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RI contribute to the competitiveness of European industry?</w:t>
      </w:r>
    </w:p>
    <w:p w:rsidR="00E535A0" w:rsidRDefault="00C953F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answers to the survey launched by the evaluation study of research infrastructures</w:t>
      </w:r>
      <w:r>
        <w:rPr>
          <w:rFonts w:ascii="Times New Roman" w:hAnsi="Times New Roman" w:cs="Times New Roman"/>
          <w:noProof/>
          <w:sz w:val="24"/>
          <w:szCs w:val="24"/>
          <w:vertAlign w:val="superscript"/>
        </w:rPr>
        <w:footnoteReference w:id="23"/>
      </w:r>
      <w:r>
        <w:rPr>
          <w:rFonts w:ascii="Times New Roman" w:hAnsi="Times New Roman" w:cs="Times New Roman"/>
          <w:noProof/>
          <w:sz w:val="24"/>
          <w:szCs w:val="24"/>
        </w:rPr>
        <w:t xml:space="preserve"> show that major outputs and outcomes of the FP7 RI projects were new or improved products in terms of scientific instruments, software, middleware, etc. for approximately 80% of respondents.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While the involvement of industry in the programme was limited</w:t>
      </w:r>
      <w:r>
        <w:rPr>
          <w:rFonts w:ascii="Times New Roman" w:eastAsia="Calibri" w:hAnsi="Times New Roman" w:cs="Times New Roman"/>
          <w:noProof/>
          <w:sz w:val="24"/>
          <w:szCs w:val="24"/>
        </w:rPr>
        <w:t xml:space="preserve"> to 10% in terms of funding and of participations, the programme improved technical development capabilities and  enhanced research-industry collaborations but only in a minority of projects. Work towards norms and standards as well as consultation with in</w:t>
      </w:r>
      <w:r>
        <w:rPr>
          <w:rFonts w:ascii="Times New Roman" w:eastAsia="Calibri" w:hAnsi="Times New Roman" w:cs="Times New Roman"/>
          <w:noProof/>
          <w:sz w:val="24"/>
          <w:szCs w:val="24"/>
        </w:rPr>
        <w:t xml:space="preserve">dustry created a basis for future industrial impacts.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are a variety of channels and mechanisms through which academic knowledge can be transformed into productive knowledge – ranging from direct use of knowledge inputs to instruments, tools, techni</w:t>
      </w:r>
      <w:r>
        <w:rPr>
          <w:rFonts w:ascii="Times New Roman" w:eastAsia="Calibri" w:hAnsi="Times New Roman" w:cs="Times New Roman"/>
          <w:noProof/>
          <w:sz w:val="24"/>
          <w:szCs w:val="24"/>
        </w:rPr>
        <w:t xml:space="preserve">ques and background knowledge. As an example, in sectors like Materials sciences, research conducted through the transnational access action also benefits the industry community. </w:t>
      </w:r>
    </w:p>
    <w:p w:rsidR="00E535A0" w:rsidRDefault="00E535A0">
      <w:pPr>
        <w:spacing w:after="0" w:line="240" w:lineRule="auto"/>
        <w:contextualSpacing/>
        <w:jc w:val="both"/>
        <w:rPr>
          <w:rFonts w:ascii="Times New Roman" w:hAnsi="Times New Roman" w:cs="Times New Roman"/>
          <w:b/>
          <w:noProof/>
          <w:sz w:val="24"/>
          <w:szCs w:val="24"/>
        </w:rPr>
      </w:pPr>
    </w:p>
    <w:p w:rsidR="00E535A0" w:rsidRDefault="00C953F5">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RI contribute to increase European and international wide S&amp;T colla</w:t>
      </w:r>
      <w:r>
        <w:rPr>
          <w:rFonts w:ascii="Times New Roman" w:hAnsi="Times New Roman" w:cs="Times New Roman"/>
          <w:b/>
          <w:noProof/>
          <w:sz w:val="24"/>
          <w:szCs w:val="24"/>
        </w:rPr>
        <w:t>boration and networking for sharing R&amp;D risks and costs?</w:t>
      </w:r>
    </w:p>
    <w:p w:rsidR="00E535A0" w:rsidRDefault="00C953F5">
      <w:pPr>
        <w:autoSpaceDE w:val="0"/>
        <w:autoSpaceDN w:val="0"/>
        <w:adjustRightInd w:val="0"/>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programme contributed to improve structuring of the European research base. The main impacts were:</w:t>
      </w:r>
    </w:p>
    <w:p w:rsidR="00E535A0" w:rsidRDefault="00C953F5">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The conduct of scientific research and its effects on the advancement of knowledge and knowled</w:t>
      </w:r>
      <w:r>
        <w:rPr>
          <w:rFonts w:ascii="Times New Roman" w:hAnsi="Times New Roman" w:cs="Times New Roman"/>
          <w:noProof/>
          <w:sz w:val="24"/>
          <w:szCs w:val="24"/>
          <w:lang w:eastAsia="en-GB"/>
        </w:rPr>
        <w:t>ge flow, within the research as well as educational components of the European knowledge society.</w:t>
      </w:r>
    </w:p>
    <w:p w:rsidR="00E535A0" w:rsidRDefault="00C953F5">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To build capacity in the use of advanced research tools and technologies and the development and implementation of new research methods. An important evolut</w:t>
      </w:r>
      <w:r>
        <w:rPr>
          <w:rFonts w:ascii="Times New Roman" w:hAnsi="Times New Roman" w:cs="Times New Roman"/>
          <w:noProof/>
          <w:sz w:val="24"/>
          <w:szCs w:val="24"/>
          <w:lang w:eastAsia="en-GB"/>
        </w:rPr>
        <w:t>ion in this context is the eScience paradigm shift.</w:t>
      </w:r>
    </w:p>
    <w:p w:rsidR="00E535A0" w:rsidRDefault="00C953F5">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To foster and accelerate an improved structuring of the European research base and considerably enhanced European and international cooperation in research.</w:t>
      </w:r>
    </w:p>
    <w:p w:rsidR="00E535A0" w:rsidRDefault="00C953F5">
      <w:pPr>
        <w:autoSpaceDE w:val="0"/>
        <w:autoSpaceDN w:val="0"/>
        <w:adjustRightInd w:val="0"/>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rPr>
        <w:t xml:space="preserve">The programme reached significant effects on </w:t>
      </w:r>
      <w:r>
        <w:rPr>
          <w:rFonts w:ascii="Times New Roman" w:eastAsia="Calibri" w:hAnsi="Times New Roman" w:cs="Times New Roman"/>
          <w:noProof/>
          <w:sz w:val="24"/>
          <w:szCs w:val="24"/>
        </w:rPr>
        <w:t>an improved cohesion of the European RI landscape and on the breadth and quality of the RI services. All support schemes contributed to these achievements. Moreover the impacts were reached in particular through their combined efforts and the appropriate u</w:t>
      </w:r>
      <w:r>
        <w:rPr>
          <w:rFonts w:ascii="Times New Roman" w:eastAsia="Calibri" w:hAnsi="Times New Roman" w:cs="Times New Roman"/>
          <w:noProof/>
          <w:sz w:val="24"/>
          <w:szCs w:val="24"/>
        </w:rPr>
        <w:t>se of the policy mix. An important factor is the growing synergy and complementary role of the research infrastructure and e-infrastructure activities.</w:t>
      </w:r>
    </w:p>
    <w:p w:rsidR="00E535A0" w:rsidRDefault="00C953F5">
      <w:pPr>
        <w:autoSpaceDE w:val="0"/>
        <w:autoSpaceDN w:val="0"/>
        <w:adjustRightInd w:val="0"/>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FP7 RI projects contributed to these impacts by a broad range of actions:</w:t>
      </w:r>
    </w:p>
    <w:p w:rsidR="00E535A0" w:rsidRDefault="00C953F5">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An enhanced cohesion in </w:t>
      </w:r>
      <w:r>
        <w:rPr>
          <w:rFonts w:ascii="Times New Roman" w:hAnsi="Times New Roman" w:cs="Times New Roman"/>
          <w:noProof/>
          <w:sz w:val="24"/>
          <w:szCs w:val="24"/>
          <w:lang w:eastAsia="en-GB"/>
        </w:rPr>
        <w:t>the European RI landscape was reached thanks to the interlinking of research facilities and data infrastructures; the harmonisation, standardisation and interoperability of methodologies and tools; the delivery of transnational access; and an increasing co</w:t>
      </w:r>
      <w:r>
        <w:rPr>
          <w:rFonts w:ascii="Times New Roman" w:hAnsi="Times New Roman" w:cs="Times New Roman"/>
          <w:noProof/>
          <w:sz w:val="24"/>
          <w:szCs w:val="24"/>
          <w:lang w:eastAsia="en-GB"/>
        </w:rPr>
        <w:t>nnectivity and ease of access.</w:t>
      </w:r>
    </w:p>
    <w:p w:rsidR="00E535A0" w:rsidRDefault="00C953F5">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Improvement of the RI services was attained thanks to innovation in the tools and methodologies for the collection, processing and analysis of the resources, visualisation and simulation techniques, scientific instruments etc</w:t>
      </w:r>
      <w:r>
        <w:rPr>
          <w:rFonts w:ascii="Times New Roman" w:hAnsi="Times New Roman" w:cs="Times New Roman"/>
          <w:noProof/>
          <w:sz w:val="24"/>
          <w:szCs w:val="24"/>
          <w:lang w:eastAsia="en-GB"/>
        </w:rPr>
        <w:t>.</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A major impact of the Virtual Research Communities (VRCs) projects was in the enhancement of transnational collaboration across Europe. They have contributed to bridging the gaps amongst different sub-disciplines of a research field by providing a common</w:t>
      </w:r>
      <w:r>
        <w:rPr>
          <w:rFonts w:ascii="Times New Roman" w:hAnsi="Times New Roman" w:cs="Times New Roman"/>
          <w:noProof/>
          <w:sz w:val="24"/>
          <w:szCs w:val="24"/>
          <w:lang w:eastAsia="en-GB"/>
        </w:rPr>
        <w:t>, standardised, interoperable and multidisciplinary infrastructure, which is still capable to address the specific needs of the single disciplines.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FP7 the flow of knowledge was improved through the use of research infrastructures, particularly for user</w:t>
      </w:r>
      <w:r>
        <w:rPr>
          <w:rFonts w:ascii="Times New Roman" w:hAnsi="Times New Roman" w:cs="Times New Roman"/>
          <w:noProof/>
          <w:sz w:val="24"/>
          <w:szCs w:val="24"/>
        </w:rPr>
        <w:t>s located in the newer Member States. There is also evidence of closer collaborations between scientists and ICT developers, as well as enhanced research-industry collaboration.</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answers to the survey launched by the evaluation study of research infrast</w:t>
      </w:r>
      <w:r>
        <w:rPr>
          <w:rFonts w:ascii="Times New Roman" w:hAnsi="Times New Roman" w:cs="Times New Roman"/>
          <w:noProof/>
          <w:sz w:val="24"/>
          <w:szCs w:val="24"/>
        </w:rPr>
        <w:t>ructures</w:t>
      </w:r>
      <w:r>
        <w:rPr>
          <w:rFonts w:ascii="Times New Roman" w:hAnsi="Times New Roman" w:cs="Times New Roman"/>
          <w:noProof/>
          <w:sz w:val="24"/>
          <w:szCs w:val="24"/>
          <w:vertAlign w:val="superscript"/>
        </w:rPr>
        <w:footnoteReference w:id="24"/>
      </w:r>
      <w:r>
        <w:rPr>
          <w:rFonts w:ascii="Times New Roman" w:hAnsi="Times New Roman" w:cs="Times New Roman"/>
          <w:noProof/>
          <w:sz w:val="24"/>
          <w:szCs w:val="24"/>
        </w:rPr>
        <w:t xml:space="preserve"> show that major outputs and outcomes of the FP7 RI projects were:</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An improved transnational access (~80% of respondents)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New or improved simulation &amp; visualisation facilities and techniques (~80% of respondents)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Extension of the RI users ba</w:t>
      </w:r>
      <w:r>
        <w:rPr>
          <w:rFonts w:ascii="Times New Roman" w:hAnsi="Times New Roman" w:cs="Times New Roman"/>
          <w:noProof/>
          <w:sz w:val="24"/>
          <w:szCs w:val="24"/>
        </w:rPr>
        <w:t xml:space="preserve">se, from a scientific and/or research community perspective (~75% of the respondents)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New or improved RI services in general (~75% of respondents)</w:t>
      </w:r>
    </w:p>
    <w:p w:rsidR="00E535A0" w:rsidRDefault="00E535A0">
      <w:pPr>
        <w:spacing w:after="24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t>Overall, the focus of the programme and the use of the different schemes in the various thematic areas (figure 7) responded to the needs in the various scientific fields that the RIs serve. This included the high focus on integrating activities in areas wh</w:t>
      </w:r>
      <w:r>
        <w:rPr>
          <w:rFonts w:ascii="Times New Roman" w:eastAsia="Calibri" w:hAnsi="Times New Roman" w:cs="Times New Roman"/>
          <w:noProof/>
          <w:sz w:val="24"/>
          <w:szCs w:val="24"/>
          <w:lang w:eastAsia="en-GB"/>
        </w:rPr>
        <w:t xml:space="preserve">ere research communities are still rather fragmented or where inter-disciplinary research is key (e.g. social sciences &amp; humanities and </w:t>
      </w:r>
      <w:r>
        <w:rPr>
          <w:rFonts w:ascii="Times New Roman" w:eastAsia="Calibri" w:hAnsi="Times New Roman" w:cs="Times New Roman"/>
          <w:noProof/>
          <w:sz w:val="24"/>
          <w:szCs w:val="24"/>
        </w:rPr>
        <w:t>life sciences</w:t>
      </w:r>
      <w:r>
        <w:rPr>
          <w:rFonts w:ascii="Times New Roman" w:eastAsia="Calibri" w:hAnsi="Times New Roman" w:cs="Times New Roman"/>
          <w:noProof/>
          <w:sz w:val="24"/>
          <w:szCs w:val="24"/>
          <w:lang w:eastAsia="en-GB"/>
        </w:rPr>
        <w:t xml:space="preserve">), as well as the </w:t>
      </w:r>
      <w:r>
        <w:rPr>
          <w:rFonts w:ascii="Times New Roman" w:eastAsia="Calibri" w:hAnsi="Times New Roman" w:cs="Times New Roman"/>
          <w:noProof/>
          <w:sz w:val="24"/>
          <w:szCs w:val="24"/>
        </w:rPr>
        <w:t>support for research infrastructures in areas that are facing the big data challenge or w</w:t>
      </w:r>
      <w:r>
        <w:rPr>
          <w:rFonts w:ascii="Times New Roman" w:eastAsia="Calibri" w:hAnsi="Times New Roman" w:cs="Times New Roman"/>
          <w:noProof/>
          <w:sz w:val="24"/>
          <w:szCs w:val="24"/>
        </w:rPr>
        <w:t xml:space="preserve">here access to global data is mandatory (e.g. </w:t>
      </w:r>
      <w:r>
        <w:rPr>
          <w:rFonts w:ascii="Times New Roman" w:eastAsia="Calibri" w:hAnsi="Times New Roman" w:cs="Times New Roman"/>
          <w:noProof/>
          <w:sz w:val="24"/>
          <w:szCs w:val="24"/>
          <w:lang w:eastAsia="en-GB"/>
        </w:rPr>
        <w:t>energy, earth &amp; environmental sciences</w:t>
      </w:r>
      <w:r>
        <w:rPr>
          <w:rFonts w:ascii="Times New Roman" w:eastAsia="Calibri" w:hAnsi="Times New Roman" w:cs="Times New Roman"/>
          <w:noProof/>
          <w:sz w:val="24"/>
          <w:szCs w:val="24"/>
        </w:rPr>
        <w:t xml:space="preserve">). </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de-DE" w:eastAsia="de-DE"/>
        </w:rPr>
        <w:drawing>
          <wp:inline distT="0" distB="0" distL="0" distR="0" wp14:anchorId="7407A6CD" wp14:editId="6496F870">
            <wp:extent cx="5760720" cy="2968625"/>
            <wp:effectExtent l="0" t="0" r="0" b="3175"/>
            <wp:docPr id="10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968625"/>
                    </a:xfrm>
                    <a:prstGeom prst="rect">
                      <a:avLst/>
                    </a:prstGeom>
                    <a:noFill/>
                    <a:ln>
                      <a:noFill/>
                    </a:ln>
                  </pic:spPr>
                </pic:pic>
              </a:graphicData>
            </a:graphic>
          </wp:inline>
        </w:drawing>
      </w:r>
    </w:p>
    <w:p w:rsidR="00E535A0" w:rsidRDefault="00C953F5">
      <w:pPr>
        <w:spacing w:after="0" w:line="240" w:lineRule="auto"/>
        <w:jc w:val="both"/>
        <w:rPr>
          <w:rFonts w:ascii="Times New Roman" w:eastAsia="Calibri" w:hAnsi="Times New Roman" w:cs="Times New Roman"/>
          <w:noProof/>
          <w:sz w:val="20"/>
          <w:szCs w:val="24"/>
        </w:rPr>
      </w:pPr>
      <w:r>
        <w:rPr>
          <w:rFonts w:ascii="Times New Roman" w:eastAsia="Calibri" w:hAnsi="Times New Roman" w:cs="Times New Roman"/>
          <w:noProof/>
          <w:sz w:val="20"/>
          <w:szCs w:val="24"/>
        </w:rPr>
        <w:t>Figure 7: Use of support schemes in line with needs of RI user communities. Source: EPIRIA report</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rPr>
        <w:t xml:space="preserve">A first analysis of the users benefitting from transnational access in the framework of the IA projects was carried out on the basis of aggregated data as of end 2012. </w:t>
      </w:r>
      <w:r>
        <w:rPr>
          <w:rFonts w:ascii="Times New Roman" w:eastAsia="Calibri" w:hAnsi="Times New Roman" w:cs="Times New Roman"/>
          <w:noProof/>
          <w:sz w:val="24"/>
          <w:szCs w:val="24"/>
          <w:lang w:eastAsia="en-GB"/>
        </w:rPr>
        <w:t xml:space="preserve">Figure 11, below, presents the geographical distribution of the users in terms of their </w:t>
      </w:r>
      <w:r>
        <w:rPr>
          <w:rFonts w:ascii="Times New Roman" w:eastAsia="Calibri" w:hAnsi="Times New Roman" w:cs="Times New Roman"/>
          <w:noProof/>
          <w:sz w:val="24"/>
          <w:szCs w:val="24"/>
          <w:lang w:eastAsia="en-GB"/>
        </w:rPr>
        <w:t>total number of visits. Close to 77% of the visits were made by users based in the EU15, ~16% by users from the newer EU Member States.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val="de-DE" w:eastAsia="de-DE"/>
        </w:rPr>
        <w:drawing>
          <wp:inline distT="0" distB="0" distL="0" distR="0" wp14:anchorId="0EC5C52B" wp14:editId="5429CC5A">
            <wp:extent cx="3200400" cy="2072640"/>
            <wp:effectExtent l="0" t="0" r="0" b="3810"/>
            <wp:docPr id="10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0400" cy="2072640"/>
                    </a:xfrm>
                    <a:prstGeom prst="rect">
                      <a:avLst/>
                    </a:prstGeom>
                    <a:noFill/>
                    <a:ln>
                      <a:noFill/>
                    </a:ln>
                  </pic:spPr>
                </pic:pic>
              </a:graphicData>
            </a:graphic>
          </wp:inline>
        </w:drawing>
      </w:r>
    </w:p>
    <w:p w:rsidR="00E535A0" w:rsidRDefault="00E535A0">
      <w:pPr>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0"/>
          <w:szCs w:val="24"/>
          <w:lang w:eastAsia="en-GB"/>
        </w:rPr>
      </w:pPr>
      <w:r>
        <w:rPr>
          <w:rFonts w:ascii="Times New Roman" w:eastAsia="Calibri" w:hAnsi="Times New Roman" w:cs="Times New Roman"/>
          <w:noProof/>
          <w:sz w:val="20"/>
          <w:szCs w:val="24"/>
          <w:lang w:eastAsia="en-GB"/>
        </w:rPr>
        <w:t>Figure 11: Geographical distribution of the RI users (nr of visits) (Source: RI users database)</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If we normalise the </w:t>
      </w:r>
      <w:r>
        <w:rPr>
          <w:rFonts w:ascii="Times New Roman" w:eastAsia="Calibri" w:hAnsi="Times New Roman" w:cs="Times New Roman"/>
          <w:noProof/>
          <w:sz w:val="24"/>
          <w:szCs w:val="24"/>
          <w:lang w:eastAsia="en-GB"/>
        </w:rPr>
        <w:t xml:space="preserve">figures with the size of the countries (in terms of total number of researchers in HE and the public sector), it appears that countries that benefit most from the EC support for transnational access to RI are the </w:t>
      </w:r>
      <w:r>
        <w:rPr>
          <w:rFonts w:ascii="Times New Roman" w:eastAsia="Calibri" w:hAnsi="Times New Roman" w:cs="Times New Roman"/>
          <w:bCs/>
          <w:noProof/>
          <w:sz w:val="24"/>
          <w:szCs w:val="24"/>
          <w:lang w:eastAsia="en-GB"/>
        </w:rPr>
        <w:t xml:space="preserve">smaller EU15 Member States </w:t>
      </w:r>
      <w:r>
        <w:rPr>
          <w:rFonts w:ascii="Times New Roman" w:eastAsia="Calibri" w:hAnsi="Times New Roman" w:cs="Times New Roman"/>
          <w:noProof/>
          <w:sz w:val="24"/>
          <w:szCs w:val="24"/>
          <w:lang w:eastAsia="en-GB"/>
        </w:rPr>
        <w:t>such as Austria,</w:t>
      </w:r>
      <w:r>
        <w:rPr>
          <w:rFonts w:ascii="Times New Roman" w:eastAsia="Calibri" w:hAnsi="Times New Roman" w:cs="Times New Roman"/>
          <w:noProof/>
          <w:sz w:val="24"/>
          <w:szCs w:val="24"/>
          <w:lang w:eastAsia="en-GB"/>
        </w:rPr>
        <w:t xml:space="preserve"> Ireland, Belgium, Finland and Greece, and </w:t>
      </w:r>
      <w:r>
        <w:rPr>
          <w:rFonts w:ascii="Times New Roman" w:eastAsia="Calibri" w:hAnsi="Times New Roman" w:cs="Times New Roman"/>
          <w:bCs/>
          <w:noProof/>
          <w:sz w:val="24"/>
          <w:szCs w:val="24"/>
          <w:lang w:eastAsia="en-GB"/>
        </w:rPr>
        <w:t>newer Member States</w:t>
      </w:r>
      <w:r>
        <w:rPr>
          <w:rFonts w:ascii="Times New Roman" w:eastAsia="Calibri" w:hAnsi="Times New Roman" w:cs="Times New Roman"/>
          <w:b/>
          <w:bCs/>
          <w:noProof/>
          <w:sz w:val="24"/>
          <w:szCs w:val="24"/>
          <w:lang w:eastAsia="en-GB"/>
        </w:rPr>
        <w:t xml:space="preserve"> </w:t>
      </w:r>
      <w:r>
        <w:rPr>
          <w:rFonts w:ascii="Times New Roman" w:eastAsia="Calibri" w:hAnsi="Times New Roman" w:cs="Times New Roman"/>
          <w:noProof/>
          <w:sz w:val="24"/>
          <w:szCs w:val="24"/>
          <w:lang w:eastAsia="en-GB"/>
        </w:rPr>
        <w:t xml:space="preserve">such as Hungary, Latvia, Bulgaria and the Czech Republic.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bCs/>
          <w:noProof/>
          <w:sz w:val="24"/>
          <w:szCs w:val="24"/>
          <w:lang w:val="en" w:eastAsia="en-GB"/>
        </w:rPr>
        <w:t xml:space="preserve">In addition to the budget spent through funding projects, the FP7 RI programme contributed with €200 million to the European Investment Bank for a Risk-Sharing Finance Facility (RSFF) for the development of RIs. </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noProof/>
          <w:sz w:val="24"/>
          <w:szCs w:val="24"/>
          <w:lang w:val="en" w:eastAsia="en-GB"/>
        </w:rPr>
        <w:t xml:space="preserve">So far the EIB has signed long-term loans </w:t>
      </w:r>
      <w:r>
        <w:rPr>
          <w:rFonts w:ascii="Times New Roman" w:eastAsia="Times New Roman" w:hAnsi="Times New Roman" w:cs="Times New Roman"/>
          <w:noProof/>
          <w:sz w:val="24"/>
          <w:szCs w:val="24"/>
          <w:lang w:val="en" w:eastAsia="en-GB"/>
        </w:rPr>
        <w:t>of over €1billion to fund research infrastructure projects such as ESO-</w:t>
      </w:r>
      <w:hyperlink r:id="rId54" w:tgtFrame="_blank" w:history="1">
        <w:r>
          <w:rPr>
            <w:rFonts w:ascii="Times New Roman" w:eastAsia="Times New Roman" w:hAnsi="Times New Roman" w:cs="Times New Roman"/>
            <w:noProof/>
            <w:sz w:val="24"/>
            <w:szCs w:val="24"/>
            <w:lang w:val="en" w:eastAsia="en-GB"/>
          </w:rPr>
          <w:t>E-ELT</w:t>
        </w:r>
      </w:hyperlink>
      <w:r>
        <w:rPr>
          <w:rFonts w:ascii="Times New Roman" w:eastAsia="Times New Roman" w:hAnsi="Times New Roman" w:cs="Times New Roman"/>
          <w:noProof/>
          <w:sz w:val="24"/>
          <w:szCs w:val="24"/>
          <w:lang w:val="en" w:eastAsia="en-GB"/>
        </w:rPr>
        <w:t xml:space="preserve">, the European Extremely Large Telescope for optical astronomy, a project on the ESFRI Roadmap. A loan of up to </w:t>
      </w:r>
      <w:r>
        <w:rPr>
          <w:rFonts w:ascii="Times New Roman" w:eastAsia="Times New Roman" w:hAnsi="Times New Roman" w:cs="Times New Roman"/>
          <w:noProof/>
          <w:sz w:val="24"/>
          <w:szCs w:val="24"/>
          <w:lang w:val="en" w:eastAsia="en-GB"/>
        </w:rPr>
        <w:t>€300 million has been provided for the design, development and construction of an extreme large optical telescope. The Sincrotrone Trieste has been provided a loan of up to 20 M€ for the completion and launching of the new FERMI@Elettra light source. FERMI</w:t>
      </w:r>
      <w:r>
        <w:rPr>
          <w:rFonts w:ascii="Times New Roman" w:eastAsia="Times New Roman" w:hAnsi="Times New Roman" w:cs="Times New Roman"/>
          <w:noProof/>
          <w:sz w:val="24"/>
          <w:szCs w:val="24"/>
          <w:lang w:val="en" w:eastAsia="en-GB"/>
        </w:rPr>
        <w:t>@Elettra is based on a newly designed free-electron laser for studying materials, which as an international laboratory will be open to the scientific community and to companies. The EIB also lent to companies supplying equipment to research facilities such</w:t>
      </w:r>
      <w:r>
        <w:rPr>
          <w:rFonts w:ascii="Times New Roman" w:eastAsia="Times New Roman" w:hAnsi="Times New Roman" w:cs="Times New Roman"/>
          <w:noProof/>
          <w:sz w:val="24"/>
          <w:szCs w:val="24"/>
          <w:lang w:val="en" w:eastAsia="en-GB"/>
        </w:rPr>
        <w:t xml:space="preserve"> as Oxford Instruments, specialised in the design, manufacture and support of hi-tech tools and systems for industry research.</w:t>
      </w:r>
      <w:r>
        <w:rPr>
          <w:rFonts w:ascii="Times New Roman" w:eastAsia="Times New Roman" w:hAnsi="Times New Roman" w:cs="Times New Roman"/>
          <w:bCs/>
          <w:noProof/>
          <w:sz w:val="24"/>
          <w:szCs w:val="24"/>
          <w:lang w:val="en" w:eastAsia="en-GB"/>
        </w:rPr>
        <w:t xml:space="preserve"> </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RI contribute to improve the coordination of European, national and regional research policies?</w:t>
      </w:r>
      <w:r>
        <w:rPr>
          <w:rStyle w:val="Funotenzeichen"/>
          <w:rFonts w:ascii="Times New Roman" w:hAnsi="Times New Roman" w:cs="Times New Roman"/>
          <w:b/>
          <w:noProof/>
          <w:sz w:val="24"/>
          <w:szCs w:val="24"/>
        </w:rPr>
        <w:footnoteReference w:id="25"/>
      </w:r>
    </w:p>
    <w:p w:rsidR="00E535A0" w:rsidRDefault="00E535A0">
      <w:pPr>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Apart of setting the </w:t>
      </w:r>
      <w:r>
        <w:rPr>
          <w:rFonts w:ascii="Times New Roman" w:eastAsia="Calibri" w:hAnsi="Times New Roman" w:cs="Times New Roman"/>
          <w:noProof/>
          <w:sz w:val="24"/>
          <w:szCs w:val="24"/>
          <w:lang w:eastAsia="en-GB"/>
        </w:rPr>
        <w:t>base for an ongoing strengthening of the European RI eco-system, the different sub-systems have also had other specific values and roles. The RI Design and Preparatory projects are considered a valuable addition to the national funding landscape and help t</w:t>
      </w:r>
      <w:r>
        <w:rPr>
          <w:rFonts w:ascii="Times New Roman" w:eastAsia="Calibri" w:hAnsi="Times New Roman" w:cs="Times New Roman"/>
          <w:noProof/>
          <w:sz w:val="24"/>
          <w:szCs w:val="24"/>
          <w:lang w:eastAsia="en-GB"/>
        </w:rPr>
        <w:t xml:space="preserve">o progress concepts for new RIs from the ideas stage to a stage where national funding agencies may commit to fund them. </w:t>
      </w:r>
    </w:p>
    <w:p w:rsidR="00E535A0" w:rsidRDefault="00E535A0">
      <w:pPr>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European Strategy Forum on Research Infrastructures (ESFRI)</w:t>
      </w:r>
      <w:r>
        <w:rPr>
          <w:rFonts w:ascii="Times New Roman" w:eastAsia="Calibri" w:hAnsi="Times New Roman" w:cs="Times New Roman"/>
          <w:noProof/>
          <w:sz w:val="24"/>
          <w:szCs w:val="24"/>
          <w:vertAlign w:val="superscript"/>
          <w:lang w:eastAsia="en-GB"/>
        </w:rPr>
        <w:footnoteReference w:id="26"/>
      </w:r>
      <w:r>
        <w:rPr>
          <w:rFonts w:ascii="Times New Roman" w:eastAsia="Calibri" w:hAnsi="Times New Roman" w:cs="Times New Roman"/>
          <w:noProof/>
          <w:sz w:val="24"/>
          <w:szCs w:val="24"/>
          <w:lang w:eastAsia="en-GB"/>
        </w:rPr>
        <w:t xml:space="preserve"> constitutes the most important coordination platform of the national policy making communities. ESFRI acts as a strategic instrument to develop the scientific integration of Europe and to strengthen its international outreach. One of the means ESFRI used </w:t>
      </w:r>
      <w:r>
        <w:rPr>
          <w:rFonts w:ascii="Times New Roman" w:eastAsia="Calibri" w:hAnsi="Times New Roman" w:cs="Times New Roman"/>
          <w:noProof/>
          <w:sz w:val="24"/>
          <w:szCs w:val="24"/>
          <w:lang w:eastAsia="en-GB"/>
        </w:rPr>
        <w:t>is the ESFRI Roadmap. The ESFRI Roadmap has raised the importance of RIs in the EU as a policy issue and has had great influence on national policies for Research Infrastructures. It also helped the EU to have a voice in the international fora. To date, th</w:t>
      </w:r>
      <w:r>
        <w:rPr>
          <w:rFonts w:ascii="Times New Roman" w:eastAsia="Calibri" w:hAnsi="Times New Roman" w:cs="Times New Roman"/>
          <w:noProof/>
          <w:sz w:val="24"/>
          <w:szCs w:val="24"/>
          <w:lang w:eastAsia="en-GB"/>
        </w:rPr>
        <w:t>e EC has supported the preparatory phase of all RIs on the ESFRI roadmap and the clustering of these ESFRI projects by scientific domains in order to help them develop common solutions in issues such as access, data stewardship and management.</w:t>
      </w:r>
    </w:p>
    <w:p w:rsidR="00E535A0" w:rsidRDefault="00E535A0">
      <w:pPr>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similar f</w:t>
      </w:r>
      <w:r>
        <w:rPr>
          <w:rFonts w:ascii="Times New Roman" w:eastAsia="Calibri" w:hAnsi="Times New Roman" w:cs="Times New Roman"/>
          <w:noProof/>
          <w:sz w:val="24"/>
          <w:szCs w:val="24"/>
        </w:rPr>
        <w:t>orum was founded in 2003 in the field of e-infrastructures, the e-Infrastructure Reflection Group (</w:t>
      </w:r>
      <w:hyperlink r:id="rId55" w:history="1">
        <w:r>
          <w:rPr>
            <w:rFonts w:ascii="Times New Roman" w:eastAsia="Calibri" w:hAnsi="Times New Roman" w:cs="Times New Roman"/>
            <w:noProof/>
            <w:sz w:val="24"/>
            <w:szCs w:val="24"/>
            <w:u w:val="single"/>
          </w:rPr>
          <w:t>e-IRG</w:t>
        </w:r>
      </w:hyperlink>
      <w:r>
        <w:rPr>
          <w:rFonts w:ascii="Times New Roman" w:eastAsia="Calibri" w:hAnsi="Times New Roman" w:cs="Times New Roman"/>
          <w:noProof/>
          <w:sz w:val="24"/>
          <w:szCs w:val="24"/>
        </w:rPr>
        <w:t>) defines and recommends best practices for the pan-European electronic infrastructure efforts. It consists of offi</w:t>
      </w:r>
      <w:r>
        <w:rPr>
          <w:rFonts w:ascii="Times New Roman" w:eastAsia="Calibri" w:hAnsi="Times New Roman" w:cs="Times New Roman"/>
          <w:noProof/>
          <w:sz w:val="24"/>
          <w:szCs w:val="24"/>
        </w:rPr>
        <w:t>cial government delegates from all the EU countries. The e-IRG produces white papers, roadmaps and recommendations, and analyses the future foundations of the European Knowledge Society. It's delegates cover widely the areas of digital research infrastruct</w:t>
      </w:r>
      <w:r>
        <w:rPr>
          <w:rFonts w:ascii="Times New Roman" w:eastAsia="Calibri" w:hAnsi="Times New Roman" w:cs="Times New Roman"/>
          <w:noProof/>
          <w:sz w:val="24"/>
          <w:szCs w:val="24"/>
        </w:rPr>
        <w:t>ures, ranging from NRENs and connectivity as well as HPC and PRACE to grid and cloud computing and big data infrastructures.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collaboration between ESFRI and e-IRG has constantly intensified, with data management and internal e-infrastructures playing </w:t>
      </w:r>
      <w:r>
        <w:rPr>
          <w:rFonts w:ascii="Times New Roman" w:eastAsia="Calibri" w:hAnsi="Times New Roman" w:cs="Times New Roman"/>
          <w:noProof/>
          <w:sz w:val="24"/>
          <w:szCs w:val="24"/>
        </w:rPr>
        <w:t>a constantly more important role in the functioning of the research infrastructures. This collaboration is visible in the form of various common working groups and e-IRG:s active participation in the drafting of the ESFRI Roadmap, and also in the newly giv</w:t>
      </w:r>
      <w:r>
        <w:rPr>
          <w:rFonts w:ascii="Times New Roman" w:eastAsia="Calibri" w:hAnsi="Times New Roman" w:cs="Times New Roman"/>
          <w:noProof/>
          <w:sz w:val="24"/>
          <w:szCs w:val="24"/>
        </w:rPr>
        <w:t>en responsibility to ESFRI to review the national e-infrastructures' funding models, which it aims to do in tight collaboration with e-IRG.</w:t>
      </w:r>
    </w:p>
    <w:p w:rsidR="00E535A0" w:rsidRDefault="00E535A0">
      <w:pPr>
        <w:autoSpaceDE w:val="0"/>
        <w:autoSpaceDN w:val="0"/>
        <w:adjustRightInd w:val="0"/>
        <w:spacing w:after="0" w:line="240" w:lineRule="auto"/>
        <w:contextualSpacing/>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RI strengthen the scientific excellence of basic research in Europe? </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R&amp;D that was conducted to suppor</w:t>
      </w:r>
      <w:r>
        <w:rPr>
          <w:rFonts w:ascii="Times New Roman" w:eastAsia="Calibri" w:hAnsi="Times New Roman" w:cs="Times New Roman"/>
          <w:noProof/>
          <w:sz w:val="24"/>
          <w:szCs w:val="24"/>
          <w:lang w:eastAsia="en-GB"/>
        </w:rPr>
        <w:t>t the development of the new</w:t>
      </w:r>
      <w:r>
        <w:rPr>
          <w:rFonts w:ascii="Times New Roman" w:eastAsia="Calibri" w:hAnsi="Times New Roman" w:cs="Times New Roman"/>
          <w:i/>
          <w:noProof/>
          <w:sz w:val="24"/>
          <w:szCs w:val="24"/>
          <w:lang w:eastAsia="en-GB"/>
        </w:rPr>
        <w:t xml:space="preserve"> </w:t>
      </w:r>
      <w:r>
        <w:rPr>
          <w:rFonts w:ascii="Times New Roman" w:eastAsia="Calibri" w:hAnsi="Times New Roman" w:cs="Times New Roman"/>
          <w:noProof/>
          <w:sz w:val="24"/>
          <w:szCs w:val="24"/>
          <w:lang w:eastAsia="en-GB"/>
        </w:rPr>
        <w:t>RI also contributed to Europe’s leading-edge science and technology outputs. The RI projects have contributed to strengthening the scientific excellence in Europe because they provided support for the access to the best RI of t</w:t>
      </w:r>
      <w:r>
        <w:rPr>
          <w:rFonts w:ascii="Times New Roman" w:eastAsia="Calibri" w:hAnsi="Times New Roman" w:cs="Times New Roman"/>
          <w:noProof/>
          <w:sz w:val="24"/>
          <w:szCs w:val="24"/>
          <w:lang w:eastAsia="en-GB"/>
        </w:rPr>
        <w:t>he best researchers regardless of their origin. Moreover they helped improve the services provided by the RI to the users. By supporting the design and preparatory phases of the ESFRI projects, the RI programme helped ensure that the European researchers c</w:t>
      </w:r>
      <w:r>
        <w:rPr>
          <w:rFonts w:ascii="Times New Roman" w:eastAsia="Calibri" w:hAnsi="Times New Roman" w:cs="Times New Roman"/>
          <w:noProof/>
          <w:sz w:val="24"/>
          <w:szCs w:val="24"/>
          <w:lang w:eastAsia="en-GB"/>
        </w:rPr>
        <w:t>ould use the most up-to-date and state of the art RI to carry out their research activities.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RI promote the development of European research careers and to make Europe more attractive to the best researchers?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FP7 RI programme succeeded in inv</w:t>
      </w:r>
      <w:r>
        <w:rPr>
          <w:rFonts w:ascii="Times New Roman" w:eastAsia="Calibri" w:hAnsi="Times New Roman" w:cs="Times New Roman"/>
          <w:noProof/>
          <w:sz w:val="24"/>
          <w:szCs w:val="24"/>
        </w:rPr>
        <w:t>olving leading organisations in the different fields and made good use of the mix of funding instruments. (EPIRIA report)</w:t>
      </w: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As regards the positioning of the research teams in their environment, the large majority (more than 80%) of the respondents to the su</w:t>
      </w:r>
      <w:r>
        <w:rPr>
          <w:rFonts w:ascii="Times New Roman" w:eastAsia="Calibri" w:hAnsi="Times New Roman" w:cs="Times New Roman"/>
          <w:noProof/>
          <w:sz w:val="24"/>
          <w:szCs w:val="24"/>
        </w:rPr>
        <w:t xml:space="preserve">rvey carried out by Technopolis, considered their organisation to be a lead player or highly important in their areas of work at national level. Half of them considered a similar positioning at European level and 40% at global level.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rPr>
        <w:t xml:space="preserve">The bibliometrics data confirmed this picture of competitive strength in the FP7 RI programme constituency from a research perspective. </w:t>
      </w:r>
      <w:r>
        <w:rPr>
          <w:rFonts w:ascii="Times New Roman" w:eastAsia="Calibri" w:hAnsi="Times New Roman" w:cs="Times New Roman"/>
          <w:noProof/>
          <w:sz w:val="24"/>
          <w:szCs w:val="24"/>
          <w:lang w:eastAsia="en-GB"/>
        </w:rPr>
        <w:t>The analysis looked into the publication history of 200 FP7 RI participants, covering their articles and reviews for the</w:t>
      </w:r>
      <w:r>
        <w:rPr>
          <w:rFonts w:ascii="Times New Roman" w:eastAsia="Calibri" w:hAnsi="Times New Roman" w:cs="Times New Roman"/>
          <w:noProof/>
          <w:sz w:val="24"/>
          <w:szCs w:val="24"/>
          <w:lang w:eastAsia="en-GB"/>
        </w:rPr>
        <w:t xml:space="preserve"> five years preceding the FP7 project. This regarded participants in research infrastructure and e-infrastructure projects. The EPIRIA finding was that in general, programme participants have better publication histories than their peers in the respective </w:t>
      </w:r>
      <w:r>
        <w:rPr>
          <w:rFonts w:ascii="Times New Roman" w:eastAsia="Calibri" w:hAnsi="Times New Roman" w:cs="Times New Roman"/>
          <w:noProof/>
          <w:sz w:val="24"/>
          <w:szCs w:val="24"/>
          <w:lang w:eastAsia="en-GB"/>
        </w:rPr>
        <w:t>fields. They publish more in high quality journals, have higher-than-average citation rates, and have a high share of international co-publications.</w:t>
      </w:r>
    </w:p>
    <w:p w:rsidR="00E535A0" w:rsidRDefault="00E535A0">
      <w:pPr>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How did RI support key Community policies?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distribution of the funding over the thematic areas indica</w:t>
      </w:r>
      <w:r>
        <w:rPr>
          <w:rFonts w:ascii="Times New Roman" w:eastAsia="Calibri" w:hAnsi="Times New Roman" w:cs="Times New Roman"/>
          <w:noProof/>
          <w:sz w:val="24"/>
          <w:szCs w:val="24"/>
          <w:lang w:eastAsia="en-GB"/>
        </w:rPr>
        <w:t>tes a strong focus on support for research in scientific fields that are key for the tackling of the Grand Challenges. Particular focus was set on RI supporting research in the field of Earth &amp; environmental sciences and Life sciences (accounting respectiv</w:t>
      </w:r>
      <w:r>
        <w:rPr>
          <w:rFonts w:ascii="Times New Roman" w:eastAsia="Calibri" w:hAnsi="Times New Roman" w:cs="Times New Roman"/>
          <w:noProof/>
          <w:sz w:val="24"/>
          <w:szCs w:val="24"/>
          <w:lang w:eastAsia="en-GB"/>
        </w:rPr>
        <w:t xml:space="preserve">ely for 19% and 18% of the programme budget).  </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In the graph below (figure 8), the Horizontal e-infrastructure services include projects funded in the field of e-sciences. e-science projects performing activities aimed at a specific sector are included in</w:t>
      </w:r>
      <w:r>
        <w:rPr>
          <w:rFonts w:ascii="Times New Roman" w:eastAsia="Calibri" w:hAnsi="Times New Roman" w:cs="Times New Roman"/>
          <w:noProof/>
          <w:sz w:val="24"/>
          <w:szCs w:val="24"/>
          <w:lang w:eastAsia="en-GB"/>
        </w:rPr>
        <w:t xml:space="preserve"> the relevant thematic areas. </w:t>
      </w:r>
    </w:p>
    <w:p w:rsidR="00E535A0" w:rsidRDefault="00E535A0">
      <w:pPr>
        <w:spacing w:after="0" w:line="240" w:lineRule="auto"/>
        <w:jc w:val="both"/>
        <w:rPr>
          <w:rFonts w:ascii="Times New Roman" w:eastAsia="Calibri" w:hAnsi="Times New Roman" w:cs="Times New Roman"/>
          <w:b/>
          <w:noProof/>
          <w:sz w:val="24"/>
          <w:szCs w:val="24"/>
        </w:rPr>
      </w:pPr>
    </w:p>
    <w:p w:rsidR="00E535A0" w:rsidRDefault="00C953F5">
      <w:pPr>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lang w:val="de-DE" w:eastAsia="de-DE"/>
        </w:rPr>
        <w:drawing>
          <wp:inline distT="0" distB="0" distL="0" distR="0" wp14:anchorId="62916858" wp14:editId="7F5CD507">
            <wp:extent cx="5760720" cy="3677920"/>
            <wp:effectExtent l="0" t="0" r="0" b="0"/>
            <wp:docPr id="1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rh.gif"/>
                    <pic:cNvPicPr/>
                  </pic:nvPicPr>
                  <pic:blipFill>
                    <a:blip r:embed="rId56">
                      <a:extLst>
                        <a:ext uri="{28A0092B-C50C-407E-A947-70E740481C1C}">
                          <a14:useLocalDpi xmlns:a14="http://schemas.microsoft.com/office/drawing/2010/main" val="0"/>
                        </a:ext>
                      </a:extLst>
                    </a:blip>
                    <a:stretch>
                      <a:fillRect/>
                    </a:stretch>
                  </pic:blipFill>
                  <pic:spPr>
                    <a:xfrm>
                      <a:off x="0" y="0"/>
                      <a:ext cx="5760720" cy="3677920"/>
                    </a:xfrm>
                    <a:prstGeom prst="rect">
                      <a:avLst/>
                    </a:prstGeom>
                  </pic:spPr>
                </pic:pic>
              </a:graphicData>
            </a:graphic>
          </wp:inline>
        </w:drawing>
      </w:r>
    </w:p>
    <w:p w:rsidR="00E535A0" w:rsidRDefault="00E535A0">
      <w:pPr>
        <w:spacing w:after="0" w:line="240" w:lineRule="auto"/>
        <w:jc w:val="both"/>
        <w:rPr>
          <w:rFonts w:ascii="Times New Roman" w:eastAsia="Calibri" w:hAnsi="Times New Roman" w:cs="Times New Roman"/>
          <w:b/>
          <w:noProof/>
          <w:sz w:val="24"/>
          <w:szCs w:val="24"/>
        </w:rPr>
      </w:pPr>
    </w:p>
    <w:p w:rsidR="00E535A0" w:rsidRDefault="00C953F5">
      <w:pPr>
        <w:spacing w:after="0" w:line="240" w:lineRule="auto"/>
        <w:jc w:val="both"/>
        <w:rPr>
          <w:rFonts w:ascii="Times New Roman" w:eastAsia="Calibri" w:hAnsi="Times New Roman" w:cs="Times New Roman"/>
          <w:noProof/>
          <w:sz w:val="20"/>
          <w:szCs w:val="24"/>
        </w:rPr>
      </w:pPr>
      <w:r>
        <w:rPr>
          <w:rFonts w:ascii="Times New Roman" w:eastAsia="Calibri" w:hAnsi="Times New Roman" w:cs="Times New Roman"/>
          <w:noProof/>
          <w:sz w:val="20"/>
          <w:szCs w:val="24"/>
        </w:rPr>
        <w:t>Figure 8: FP7 RI breakdown by thematic areas. Source Corda data</w:t>
      </w:r>
    </w:p>
    <w:p w:rsidR="00E535A0" w:rsidRDefault="00E535A0">
      <w:pPr>
        <w:spacing w:after="0" w:line="240" w:lineRule="auto"/>
        <w:jc w:val="both"/>
        <w:rPr>
          <w:rFonts w:ascii="Times New Roman" w:eastAsia="Calibri" w:hAnsi="Times New Roman" w:cs="Times New Roman"/>
          <w:b/>
          <w:noProof/>
          <w:sz w:val="24"/>
          <w:szCs w:val="24"/>
        </w:rPr>
      </w:pPr>
    </w:p>
    <w:p w:rsidR="00E535A0" w:rsidRDefault="00E535A0">
      <w:pPr>
        <w:spacing w:after="0" w:line="240" w:lineRule="auto"/>
        <w:jc w:val="both"/>
        <w:rPr>
          <w:rFonts w:ascii="Times New Roman" w:eastAsia="Calibri"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relatively high level of support to RI in the </w:t>
      </w:r>
      <w:r>
        <w:rPr>
          <w:rFonts w:ascii="Times New Roman" w:eastAsia="Calibri" w:hAnsi="Times New Roman" w:cs="Times New Roman"/>
          <w:bCs/>
          <w:noProof/>
          <w:sz w:val="24"/>
          <w:szCs w:val="24"/>
          <w:lang w:eastAsia="en-GB"/>
        </w:rPr>
        <w:t>physical sciences &amp; astronomy</w:t>
      </w:r>
      <w:r>
        <w:rPr>
          <w:rFonts w:ascii="Times New Roman" w:eastAsia="Calibri" w:hAnsi="Times New Roman" w:cs="Times New Roman"/>
          <w:b/>
          <w:bCs/>
          <w:noProof/>
          <w:sz w:val="24"/>
          <w:szCs w:val="24"/>
          <w:lang w:eastAsia="en-GB"/>
        </w:rPr>
        <w:t xml:space="preserve"> </w:t>
      </w:r>
      <w:r>
        <w:rPr>
          <w:rFonts w:ascii="Times New Roman" w:eastAsia="Calibri" w:hAnsi="Times New Roman" w:cs="Times New Roman"/>
          <w:noProof/>
          <w:sz w:val="24"/>
          <w:szCs w:val="24"/>
          <w:lang w:eastAsia="en-GB"/>
        </w:rPr>
        <w:t xml:space="preserve">thematic area is to be noted, in particular in the number of projects supporting the design and construction of new RI (see figure 9). </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Funding was also allocated for support to research in the Social sciences, a field that provides strategic information </w:t>
      </w:r>
      <w:r>
        <w:rPr>
          <w:rFonts w:ascii="Times New Roman" w:eastAsia="Calibri" w:hAnsi="Times New Roman" w:cs="Times New Roman"/>
          <w:noProof/>
          <w:sz w:val="24"/>
          <w:szCs w:val="24"/>
          <w:lang w:eastAsia="en-GB"/>
        </w:rPr>
        <w:t>for policy making on more general societal challenges and where significant new opportunities arise from the Big Data phenomenon. Funding for RI in the social sciences &amp; humanities thematic area accounted for 5.5% of the budget.</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val="de-DE" w:eastAsia="de-DE"/>
        </w:rPr>
        <w:drawing>
          <wp:inline distT="0" distB="0" distL="0" distR="0" wp14:anchorId="27655E50" wp14:editId="76DFE4C6">
            <wp:extent cx="5760720" cy="2480945"/>
            <wp:effectExtent l="0" t="0" r="0" b="0"/>
            <wp:docPr id="1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2480945"/>
                    </a:xfrm>
                    <a:prstGeom prst="rect">
                      <a:avLst/>
                    </a:prstGeom>
                  </pic:spPr>
                </pic:pic>
              </a:graphicData>
            </a:graphic>
          </wp:inline>
        </w:drawing>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0"/>
          <w:szCs w:val="24"/>
          <w:lang w:eastAsia="en-GB"/>
        </w:rPr>
      </w:pPr>
      <w:r>
        <w:rPr>
          <w:rFonts w:ascii="Times New Roman" w:eastAsia="Calibri" w:hAnsi="Times New Roman" w:cs="Times New Roman"/>
          <w:noProof/>
          <w:sz w:val="20"/>
          <w:szCs w:val="24"/>
          <w:lang w:eastAsia="en-GB"/>
        </w:rPr>
        <w:t>Figure 9: FP7 RI fundin</w:t>
      </w:r>
      <w:r>
        <w:rPr>
          <w:rFonts w:ascii="Times New Roman" w:eastAsia="Calibri" w:hAnsi="Times New Roman" w:cs="Times New Roman"/>
          <w:noProof/>
          <w:sz w:val="20"/>
          <w:szCs w:val="24"/>
          <w:lang w:eastAsia="en-GB"/>
        </w:rPr>
        <w:t>g by thematic area/funding schemes (€M). Source Corda data</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Cs/>
          <w:noProof/>
          <w:sz w:val="24"/>
          <w:szCs w:val="24"/>
          <w:lang w:eastAsia="en-GB"/>
        </w:rPr>
        <w:t xml:space="preserve">The programme fostered and consolidated coherence in RI policymaking. </w:t>
      </w:r>
      <w:r>
        <w:rPr>
          <w:rFonts w:ascii="Times New Roman" w:eastAsia="Calibri" w:hAnsi="Times New Roman" w:cs="Times New Roman"/>
          <w:noProof/>
          <w:sz w:val="24"/>
          <w:szCs w:val="24"/>
          <w:lang w:eastAsia="en-GB"/>
        </w:rPr>
        <w:t>A major task of the FP7 RI programme was to act as a driver and coordinating force for an improved coherence of RI policies in</w:t>
      </w:r>
      <w:r>
        <w:rPr>
          <w:rFonts w:ascii="Times New Roman" w:eastAsia="Calibri" w:hAnsi="Times New Roman" w:cs="Times New Roman"/>
          <w:noProof/>
          <w:sz w:val="24"/>
          <w:szCs w:val="24"/>
          <w:lang w:eastAsia="en-GB"/>
        </w:rPr>
        <w:t xml:space="preserve"> Europe. It did so by providing </w:t>
      </w:r>
      <w:r>
        <w:rPr>
          <w:rFonts w:ascii="Times New Roman" w:eastAsia="Calibri" w:hAnsi="Times New Roman" w:cs="Times New Roman"/>
          <w:iCs/>
          <w:noProof/>
          <w:sz w:val="24"/>
          <w:szCs w:val="24"/>
          <w:lang w:eastAsia="en-GB"/>
        </w:rPr>
        <w:t xml:space="preserve">platforms and instruments for an improved communication </w:t>
      </w:r>
      <w:r>
        <w:rPr>
          <w:rFonts w:ascii="Times New Roman" w:eastAsia="Calibri" w:hAnsi="Times New Roman" w:cs="Times New Roman"/>
          <w:noProof/>
          <w:sz w:val="24"/>
          <w:szCs w:val="24"/>
          <w:lang w:eastAsia="en-GB"/>
        </w:rPr>
        <w:t>among the actors involved. Below are some examples of these mechanisms and their role and value:</w:t>
      </w:r>
      <w:r>
        <w:rPr>
          <w:rFonts w:ascii="Times New Roman" w:eastAsia="Calibri" w:hAnsi="Times New Roman" w:cs="Times New Roman"/>
          <w:noProof/>
          <w:sz w:val="24"/>
          <w:szCs w:val="24"/>
        </w:rPr>
        <w:t xml:space="preserve"> </w:t>
      </w:r>
    </w:p>
    <w:p w:rsidR="00E535A0" w:rsidRDefault="00C953F5">
      <w:pPr>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 New or updated </w:t>
      </w:r>
      <w:r>
        <w:rPr>
          <w:rFonts w:ascii="Times New Roman" w:eastAsia="Calibri" w:hAnsi="Times New Roman" w:cs="Times New Roman"/>
          <w:bCs/>
          <w:noProof/>
          <w:sz w:val="24"/>
          <w:szCs w:val="24"/>
          <w:lang w:eastAsia="en-GB"/>
        </w:rPr>
        <w:t xml:space="preserve">roadmaps </w:t>
      </w:r>
      <w:r>
        <w:rPr>
          <w:rFonts w:ascii="Times New Roman" w:eastAsia="Calibri" w:hAnsi="Times New Roman" w:cs="Times New Roman"/>
          <w:noProof/>
          <w:sz w:val="24"/>
          <w:szCs w:val="24"/>
          <w:lang w:eastAsia="en-GB"/>
        </w:rPr>
        <w:t>have been developed in many scientific fields and subdisciplines during the course of this programme, bringing together all relevant research communities with the aim to develop consensus around a comprehensive strategy at the European level. These roadmap</w:t>
      </w:r>
      <w:r>
        <w:rPr>
          <w:rFonts w:ascii="Times New Roman" w:eastAsia="Calibri" w:hAnsi="Times New Roman" w:cs="Times New Roman"/>
          <w:noProof/>
          <w:sz w:val="24"/>
          <w:szCs w:val="24"/>
          <w:lang w:eastAsia="en-GB"/>
        </w:rPr>
        <w:t xml:space="preserve">s have an important impact on an improved coordination at the policy-maker and funding agency level and can be expected to guide future policy and investments. </w:t>
      </w:r>
    </w:p>
    <w:p w:rsidR="00E535A0" w:rsidRDefault="00C953F5">
      <w:pPr>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FP7 RI projects, and in particular the preparatory phase activities, provided the fora that w</w:t>
      </w:r>
      <w:r>
        <w:rPr>
          <w:rFonts w:ascii="Times New Roman" w:eastAsia="Calibri" w:hAnsi="Times New Roman" w:cs="Times New Roman"/>
          <w:noProof/>
          <w:sz w:val="24"/>
          <w:szCs w:val="24"/>
          <w:lang w:eastAsia="en-GB"/>
        </w:rPr>
        <w:t xml:space="preserve">ould allow R&amp;D policy makers and funders to discuss harmonisation of </w:t>
      </w:r>
      <w:r>
        <w:rPr>
          <w:rFonts w:ascii="Times New Roman" w:eastAsia="Calibri" w:hAnsi="Times New Roman" w:cs="Times New Roman"/>
          <w:bCs/>
          <w:noProof/>
          <w:sz w:val="24"/>
          <w:szCs w:val="24"/>
          <w:lang w:eastAsia="en-GB"/>
        </w:rPr>
        <w:t>concepts and key legal and ethical issues</w:t>
      </w:r>
      <w:r>
        <w:rPr>
          <w:rFonts w:ascii="Times New Roman" w:eastAsia="Calibri" w:hAnsi="Times New Roman" w:cs="Times New Roman"/>
          <w:noProof/>
          <w:sz w:val="24"/>
          <w:szCs w:val="24"/>
          <w:lang w:eastAsia="en-GB"/>
        </w:rPr>
        <w:t>. This is a crucial topic for European RIs that has to be addressed in advance as they have an important effect in the buy-in of the different cou</w:t>
      </w:r>
      <w:r>
        <w:rPr>
          <w:rFonts w:ascii="Times New Roman" w:eastAsia="Calibri" w:hAnsi="Times New Roman" w:cs="Times New Roman"/>
          <w:noProof/>
          <w:sz w:val="24"/>
          <w:szCs w:val="24"/>
          <w:lang w:eastAsia="en-GB"/>
        </w:rPr>
        <w:t>ntries and in defining the technical aspects and functionalities of the RI with a view to achieving sufficient critical mass.</w:t>
      </w:r>
    </w:p>
    <w:p w:rsidR="00E535A0" w:rsidRDefault="00C953F5">
      <w:pPr>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 The </w:t>
      </w:r>
      <w:r>
        <w:rPr>
          <w:rFonts w:ascii="Times New Roman" w:eastAsia="Calibri" w:hAnsi="Times New Roman" w:cs="Times New Roman"/>
          <w:bCs/>
          <w:noProof/>
          <w:sz w:val="24"/>
          <w:szCs w:val="24"/>
          <w:lang w:eastAsia="en-GB"/>
        </w:rPr>
        <w:t xml:space="preserve">ERANet projects </w:t>
      </w:r>
      <w:r>
        <w:rPr>
          <w:rFonts w:ascii="Times New Roman" w:eastAsia="Calibri" w:hAnsi="Times New Roman" w:cs="Times New Roman"/>
          <w:noProof/>
          <w:sz w:val="24"/>
          <w:szCs w:val="24"/>
          <w:lang w:eastAsia="en-GB"/>
        </w:rPr>
        <w:t>have been beneficial and a useful vehicle for the stimulation and development of joint strategies (e.g. Astr</w:t>
      </w:r>
      <w:r>
        <w:rPr>
          <w:rFonts w:ascii="Times New Roman" w:eastAsia="Calibri" w:hAnsi="Times New Roman" w:cs="Times New Roman"/>
          <w:noProof/>
          <w:sz w:val="24"/>
          <w:szCs w:val="24"/>
          <w:lang w:eastAsia="en-GB"/>
        </w:rPr>
        <w:t>onet) and joint work on policy areas. Other projects such as Eridwatch and Meril have created opportunities for debates. These activities have a strategic value also for the Commission in that they provide background information and the possibility to play</w:t>
      </w:r>
      <w:r>
        <w:rPr>
          <w:rFonts w:ascii="Times New Roman" w:eastAsia="Calibri" w:hAnsi="Times New Roman" w:cs="Times New Roman"/>
          <w:noProof/>
          <w:sz w:val="24"/>
          <w:szCs w:val="24"/>
          <w:lang w:eastAsia="en-GB"/>
        </w:rPr>
        <w:t xml:space="preserve"> an active role for the definition of future activities. Other examples are studies developing conceptual frameworks for the assessment of RI to the benefit of the European Commission and national policy makers, as well as the RI.</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RI increase ava</w:t>
      </w:r>
      <w:r>
        <w:rPr>
          <w:rFonts w:ascii="Times New Roman" w:hAnsi="Times New Roman" w:cs="Times New Roman"/>
          <w:b/>
          <w:noProof/>
          <w:sz w:val="24"/>
          <w:szCs w:val="24"/>
        </w:rPr>
        <w:t>ilability, coordination and access in relation to top-level European scientific and technological infrastructure?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Research Infrastructures activities addressed the fragmentation of the research infrastructure landscape in Europe, developing networks o</w:t>
      </w:r>
      <w:r>
        <w:rPr>
          <w:rFonts w:ascii="Times New Roman" w:hAnsi="Times New Roman" w:cs="Times New Roman"/>
          <w:noProof/>
          <w:sz w:val="24"/>
          <w:szCs w:val="24"/>
        </w:rPr>
        <w:t xml:space="preserve">f research infrastructures in Europe and improving the way they operate, at national and European level, thus ensuring more coherent Research Infrastructures policies. They helped bringing down barriers to access to RI, playing therefore an important role </w:t>
      </w:r>
      <w:r>
        <w:rPr>
          <w:rFonts w:ascii="Times New Roman" w:hAnsi="Times New Roman" w:cs="Times New Roman"/>
          <w:noProof/>
          <w:sz w:val="24"/>
          <w:szCs w:val="24"/>
        </w:rPr>
        <w:t>in the education and training of researchers, young scientists and engineers through the use of cutting-edge equipment or the exploitation of data generated by or stored within them..</w:t>
      </w:r>
    </w:p>
    <w:p w:rsidR="00E535A0" w:rsidRDefault="00E535A0">
      <w:pPr>
        <w:spacing w:line="240" w:lineRule="auto"/>
        <w:contextualSpacing/>
        <w:jc w:val="both"/>
        <w:rPr>
          <w:rFonts w:ascii="Times New Roman" w:hAnsi="Times New Roman" w:cs="Times New Roman"/>
          <w:b/>
          <w:noProof/>
          <w:sz w:val="24"/>
          <w:szCs w:val="24"/>
        </w:rPr>
      </w:pPr>
    </w:p>
    <w:p w:rsidR="00E535A0" w:rsidRDefault="00C953F5">
      <w:p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To what extent the results of RI contribute to the achievements of the </w:t>
      </w:r>
      <w:r>
        <w:rPr>
          <w:rFonts w:ascii="Times New Roman" w:hAnsi="Times New Roman" w:cs="Times New Roman"/>
          <w:b/>
          <w:noProof/>
          <w:sz w:val="24"/>
          <w:szCs w:val="24"/>
        </w:rPr>
        <w:t>new Commission's priorities?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lang w:eastAsia="en-GB"/>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potential for impacts on society at large is high in areas such as </w:t>
      </w:r>
      <w:r>
        <w:rPr>
          <w:rFonts w:ascii="Times New Roman" w:eastAsia="Calibri" w:hAnsi="Times New Roman" w:cs="Times New Roman"/>
          <w:i/>
          <w:noProof/>
          <w:sz w:val="24"/>
          <w:szCs w:val="24"/>
          <w:lang w:eastAsia="en-GB"/>
        </w:rPr>
        <w:t>environment,</w:t>
      </w:r>
      <w:r>
        <w:rPr>
          <w:rFonts w:ascii="Times New Roman" w:eastAsia="Calibri" w:hAnsi="Times New Roman" w:cs="Times New Roman"/>
          <w:noProof/>
          <w:sz w:val="24"/>
          <w:szCs w:val="24"/>
          <w:lang w:eastAsia="en-GB"/>
        </w:rPr>
        <w:t xml:space="preserve"> where they feed into global issues such as climate change and the Intergovernmental Panel on Climate Change process. Close to 20% of the funding was allocated to the environmental sciences. Support has been provided to networks of RIs and development of n</w:t>
      </w:r>
      <w:r>
        <w:rPr>
          <w:rFonts w:ascii="Times New Roman" w:eastAsia="Calibri" w:hAnsi="Times New Roman" w:cs="Times New Roman"/>
          <w:noProof/>
          <w:sz w:val="24"/>
          <w:szCs w:val="24"/>
          <w:lang w:eastAsia="en-GB"/>
        </w:rPr>
        <w:t xml:space="preserve">ew distributed RIs in atmospheric research, arctic, ocean and marine research, and biodiversity. The impacts are also high in the sphere of health. The programme supported the development of the European </w:t>
      </w:r>
      <w:r>
        <w:rPr>
          <w:rFonts w:ascii="Times New Roman" w:eastAsia="Calibri" w:hAnsi="Times New Roman" w:cs="Times New Roman"/>
          <w:i/>
          <w:noProof/>
          <w:sz w:val="24"/>
          <w:szCs w:val="24"/>
          <w:lang w:eastAsia="en-GB"/>
        </w:rPr>
        <w:t xml:space="preserve">life sciences ecosystem </w:t>
      </w:r>
      <w:r>
        <w:rPr>
          <w:rFonts w:ascii="Times New Roman" w:eastAsia="Calibri" w:hAnsi="Times New Roman" w:cs="Times New Roman"/>
          <w:noProof/>
          <w:sz w:val="24"/>
          <w:szCs w:val="24"/>
          <w:lang w:eastAsia="en-GB"/>
        </w:rPr>
        <w:t>of facilities and resources,</w:t>
      </w:r>
      <w:r>
        <w:rPr>
          <w:rFonts w:ascii="Times New Roman" w:eastAsia="Calibri" w:hAnsi="Times New Roman" w:cs="Times New Roman"/>
          <w:noProof/>
          <w:sz w:val="24"/>
          <w:szCs w:val="24"/>
          <w:lang w:eastAsia="en-GB"/>
        </w:rPr>
        <w:t xml:space="preserve"> from biological resource centers to medical research facilities and food and agriculture facilities. The action in the field of </w:t>
      </w:r>
      <w:r>
        <w:rPr>
          <w:rFonts w:ascii="Times New Roman" w:eastAsia="Calibri" w:hAnsi="Times New Roman" w:cs="Times New Roman"/>
          <w:i/>
          <w:noProof/>
          <w:sz w:val="24"/>
          <w:szCs w:val="24"/>
          <w:lang w:eastAsia="en-GB"/>
        </w:rPr>
        <w:t>social sciences and humanities</w:t>
      </w:r>
      <w:r>
        <w:rPr>
          <w:rFonts w:ascii="Times New Roman" w:eastAsia="Calibri" w:hAnsi="Times New Roman" w:cs="Times New Roman"/>
          <w:noProof/>
          <w:sz w:val="24"/>
          <w:szCs w:val="24"/>
          <w:lang w:eastAsia="en-GB"/>
        </w:rPr>
        <w:t>, despite its limited extend, has also high potential for achieving effects on policy making in o</w:t>
      </w:r>
      <w:r>
        <w:rPr>
          <w:rFonts w:ascii="Times New Roman" w:eastAsia="Calibri" w:hAnsi="Times New Roman" w:cs="Times New Roman"/>
          <w:noProof/>
          <w:sz w:val="24"/>
          <w:szCs w:val="24"/>
          <w:lang w:eastAsia="en-GB"/>
        </w:rPr>
        <w:t xml:space="preserve">ther areas of societal importance. </w:t>
      </w:r>
    </w:p>
    <w:p w:rsidR="00E535A0" w:rsidRDefault="00C953F5">
      <w:pPr>
        <w:spacing w:line="240" w:lineRule="auto"/>
        <w:jc w:val="center"/>
        <w:rPr>
          <w:rFonts w:ascii="Times New Roman" w:eastAsia="Calibri" w:hAnsi="Times New Roman" w:cs="Times New Roman"/>
          <w:noProof/>
          <w:sz w:val="20"/>
          <w:szCs w:val="24"/>
        </w:rPr>
      </w:pPr>
      <w:r>
        <w:rPr>
          <w:rFonts w:ascii="Times New Roman" w:hAnsi="Times New Roman" w:cs="Times New Roman"/>
          <w:noProof/>
          <w:sz w:val="24"/>
          <w:szCs w:val="24"/>
          <w:lang w:val="de-DE" w:eastAsia="de-DE"/>
        </w:rPr>
        <w:drawing>
          <wp:inline distT="0" distB="0" distL="0" distR="0" wp14:anchorId="0658653D" wp14:editId="08307875">
            <wp:extent cx="5760720" cy="3706359"/>
            <wp:effectExtent l="0" t="0" r="0" b="8890"/>
            <wp:docPr id="1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706359"/>
                    </a:xfrm>
                    <a:prstGeom prst="rect">
                      <a:avLst/>
                    </a:prstGeom>
                    <a:noFill/>
                    <a:ln>
                      <a:noFill/>
                    </a:ln>
                  </pic:spPr>
                </pic:pic>
              </a:graphicData>
            </a:graphic>
          </wp:inline>
        </w:drawing>
      </w:r>
      <w:r>
        <w:rPr>
          <w:rFonts w:ascii="Times New Roman" w:eastAsia="Calibri" w:hAnsi="Times New Roman" w:cs="Times New Roman"/>
          <w:noProof/>
          <w:sz w:val="20"/>
          <w:szCs w:val="24"/>
        </w:rPr>
        <w:t>Figure 1: Expected outcomes and mid-to-long term impacts of the FP7 RI supported actions. Source: EPIRIA report</w:t>
      </w:r>
    </w:p>
    <w:p w:rsidR="00E535A0" w:rsidRDefault="00C953F5">
      <w:p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To what extent was RI coherent with other EU actions (CIP, ESF) and EU policy?</w:t>
      </w:r>
    </w:p>
    <w:p w:rsidR="00E535A0" w:rsidRDefault="00E535A0">
      <w:pPr>
        <w:spacing w:line="240" w:lineRule="auto"/>
        <w:ind w:left="1080"/>
        <w:contextualSpacing/>
        <w:jc w:val="both"/>
        <w:rPr>
          <w:rFonts w:ascii="Times New Roman" w:hAnsi="Times New Roman" w:cs="Times New Roman"/>
          <w:b/>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FP7 RI programme the</w:t>
      </w:r>
      <w:r>
        <w:rPr>
          <w:rFonts w:ascii="Times New Roman" w:hAnsi="Times New Roman" w:cs="Times New Roman"/>
          <w:noProof/>
          <w:sz w:val="24"/>
          <w:szCs w:val="24"/>
        </w:rPr>
        <w:t xml:space="preserve"> objectives of the supported activities had a strong alignment with the programme’s higher-level policy objectives and the objectives of the ERA. In essence, this indicates a high quality in the programme design. (EPIRIA report)</w:t>
      </w:r>
    </w:p>
    <w:p w:rsidR="00E535A0" w:rsidRDefault="00C953F5">
      <w:pPr>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RI added value</w:t>
      </w: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key adde</w:t>
      </w:r>
      <w:r>
        <w:rPr>
          <w:rFonts w:ascii="Times New Roman" w:eastAsia="Calibri" w:hAnsi="Times New Roman" w:cs="Times New Roman"/>
          <w:noProof/>
          <w:sz w:val="24"/>
          <w:szCs w:val="24"/>
        </w:rPr>
        <w:t xml:space="preserve">d value of the FP7 RI programme was to strengthen the European dimension in </w:t>
      </w: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RI policies, activities and services. </w:t>
      </w:r>
      <w:r>
        <w:rPr>
          <w:rFonts w:ascii="Times New Roman" w:eastAsia="Calibri" w:hAnsi="Times New Roman" w:cs="Times New Roman"/>
          <w:noProof/>
          <w:sz w:val="24"/>
          <w:szCs w:val="24"/>
          <w:lang w:eastAsia="en-GB"/>
        </w:rPr>
        <w:t xml:space="preserve">The Programme fulfilled its </w:t>
      </w:r>
      <w:r>
        <w:rPr>
          <w:rFonts w:ascii="Times New Roman" w:eastAsia="Calibri" w:hAnsi="Times New Roman" w:cs="Times New Roman"/>
          <w:bCs/>
          <w:noProof/>
          <w:sz w:val="24"/>
          <w:szCs w:val="24"/>
          <w:lang w:eastAsia="en-GB"/>
        </w:rPr>
        <w:t>primary function</w:t>
      </w:r>
      <w:r>
        <w:rPr>
          <w:rFonts w:ascii="Times New Roman" w:eastAsia="Calibri" w:hAnsi="Times New Roman" w:cs="Times New Roman"/>
          <w:b/>
          <w:bCs/>
          <w:noProof/>
          <w:sz w:val="24"/>
          <w:szCs w:val="24"/>
          <w:lang w:eastAsia="en-GB"/>
        </w:rPr>
        <w:t xml:space="preserve"> </w:t>
      </w:r>
      <w:r>
        <w:rPr>
          <w:rFonts w:ascii="Times New Roman" w:eastAsia="Calibri" w:hAnsi="Times New Roman" w:cs="Times New Roman"/>
          <w:noProof/>
          <w:sz w:val="24"/>
          <w:szCs w:val="24"/>
          <w:lang w:eastAsia="en-GB"/>
        </w:rPr>
        <w:t xml:space="preserve">of supporting the development of </w:t>
      </w:r>
      <w:r>
        <w:rPr>
          <w:rFonts w:ascii="Times New Roman" w:eastAsia="Calibri" w:hAnsi="Times New Roman" w:cs="Times New Roman"/>
          <w:iCs/>
          <w:noProof/>
          <w:sz w:val="24"/>
          <w:szCs w:val="24"/>
          <w:lang w:eastAsia="en-GB"/>
        </w:rPr>
        <w:t xml:space="preserve">networks </w:t>
      </w:r>
      <w:r>
        <w:rPr>
          <w:rFonts w:ascii="Times New Roman" w:eastAsia="Calibri" w:hAnsi="Times New Roman" w:cs="Times New Roman"/>
          <w:noProof/>
          <w:sz w:val="24"/>
          <w:szCs w:val="24"/>
          <w:lang w:eastAsia="en-GB"/>
        </w:rPr>
        <w:t xml:space="preserve">of research infrastructures in Europe and improving the way research infrastructures </w:t>
      </w:r>
      <w:r>
        <w:rPr>
          <w:rFonts w:ascii="Times New Roman" w:eastAsia="Calibri" w:hAnsi="Times New Roman" w:cs="Times New Roman"/>
          <w:iCs/>
          <w:noProof/>
          <w:sz w:val="24"/>
          <w:szCs w:val="24"/>
          <w:lang w:eastAsia="en-GB"/>
        </w:rPr>
        <w:t>operate, evolve and interact</w:t>
      </w:r>
      <w:r>
        <w:rPr>
          <w:rFonts w:ascii="Times New Roman" w:eastAsia="Calibri" w:hAnsi="Times New Roman" w:cs="Times New Roman"/>
          <w:i/>
          <w:iCs/>
          <w:noProof/>
          <w:sz w:val="24"/>
          <w:szCs w:val="24"/>
          <w:lang w:eastAsia="en-GB"/>
        </w:rPr>
        <w:t xml:space="preserve"> </w:t>
      </w:r>
      <w:r>
        <w:rPr>
          <w:rFonts w:ascii="Times New Roman" w:eastAsia="Calibri" w:hAnsi="Times New Roman" w:cs="Times New Roman"/>
          <w:noProof/>
          <w:sz w:val="24"/>
          <w:szCs w:val="24"/>
          <w:lang w:eastAsia="en-GB"/>
        </w:rPr>
        <w:t xml:space="preserve">with similar infrastructures and with their users – at European and global levels. </w:t>
      </w:r>
    </w:p>
    <w:p w:rsidR="00E535A0" w:rsidRDefault="00E535A0">
      <w:pPr>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ex_post evaluation study of research infrastructures </w:t>
      </w:r>
      <w:r>
        <w:rPr>
          <w:rFonts w:ascii="Times New Roman" w:hAnsi="Times New Roman" w:cs="Times New Roman"/>
          <w:noProof/>
          <w:sz w:val="24"/>
          <w:szCs w:val="24"/>
        </w:rPr>
        <w:t>confirm the high level of added value of the programme: 70% of the respondents to the survey stated that their project would not have been possible without EC funding; the remaining 30% considered that it would have been possible to find alternative fundin</w:t>
      </w:r>
      <w:r>
        <w:rPr>
          <w:rFonts w:ascii="Times New Roman" w:hAnsi="Times New Roman" w:cs="Times New Roman"/>
          <w:noProof/>
          <w:sz w:val="24"/>
          <w:szCs w:val="24"/>
        </w:rPr>
        <w:t>g, but in close to all cases that would have implied a reduced scale or speed.</w:t>
      </w: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t>The Programme increased the cohesiveness of the European RI landscape by interlinking research facilities and data infrastructures, the harmonisation, standardisation and intero</w:t>
      </w:r>
      <w:r>
        <w:rPr>
          <w:rFonts w:ascii="Times New Roman" w:eastAsia="Calibri" w:hAnsi="Times New Roman" w:cs="Times New Roman"/>
          <w:noProof/>
          <w:sz w:val="24"/>
          <w:szCs w:val="24"/>
          <w:lang w:eastAsia="en-GB"/>
        </w:rPr>
        <w:t>perability of methodologies and tools, the delivery of transnational access, increasing connectivity and ease of access. Innovation in the tools and methods for the collection, processing and analysis of RI resources and the use of the facilities, includin</w:t>
      </w:r>
      <w:r>
        <w:rPr>
          <w:rFonts w:ascii="Times New Roman" w:eastAsia="Calibri" w:hAnsi="Times New Roman" w:cs="Times New Roman"/>
          <w:noProof/>
          <w:sz w:val="24"/>
          <w:szCs w:val="24"/>
          <w:lang w:eastAsia="en-GB"/>
        </w:rPr>
        <w:t>g visualisation and simulation techniques and scientific instruments led to a considerable improvement in the delivery of RI services. The shift to a more service oriented approach in the e-infrastructure ecosystem was a particularly important contribution</w:t>
      </w:r>
      <w:r>
        <w:rPr>
          <w:rFonts w:ascii="Times New Roman" w:eastAsia="Calibri" w:hAnsi="Times New Roman" w:cs="Times New Roman"/>
          <w:noProof/>
          <w:sz w:val="24"/>
          <w:szCs w:val="24"/>
          <w:lang w:eastAsia="en-GB"/>
        </w:rPr>
        <w:t>.</w:t>
      </w:r>
      <w:r>
        <w:rPr>
          <w:rFonts w:ascii="Times New Roman" w:eastAsia="Calibri" w:hAnsi="Times New Roman" w:cs="Times New Roman"/>
          <w:noProof/>
          <w:sz w:val="24"/>
          <w:szCs w:val="24"/>
        </w:rPr>
        <w:t xml:space="preserve">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noProof/>
          <w:sz w:val="24"/>
          <w:szCs w:val="24"/>
          <w:lang w:eastAsia="en-GB"/>
        </w:rPr>
        <w:t xml:space="preserve">The FP7 RI Programme has been very successful in increasing the value of research infrastructure as a </w:t>
      </w:r>
      <w:r>
        <w:rPr>
          <w:rFonts w:ascii="Times New Roman" w:eastAsia="Calibri" w:hAnsi="Times New Roman" w:cs="Times New Roman"/>
          <w:bCs/>
          <w:noProof/>
          <w:sz w:val="24"/>
          <w:szCs w:val="24"/>
          <w:lang w:eastAsia="en-GB"/>
        </w:rPr>
        <w:t>tool for Science</w:t>
      </w:r>
      <w:r>
        <w:rPr>
          <w:rFonts w:ascii="Times New Roman" w:eastAsia="Calibri" w:hAnsi="Times New Roman" w:cs="Times New Roman"/>
          <w:noProof/>
          <w:sz w:val="24"/>
          <w:szCs w:val="24"/>
          <w:lang w:eastAsia="en-GB"/>
        </w:rPr>
        <w:t>. The networking and integration of the research infrastructures helped improve the structure and cohesiveness of the European researc</w:t>
      </w:r>
      <w:r>
        <w:rPr>
          <w:rFonts w:ascii="Times New Roman" w:eastAsia="Calibri" w:hAnsi="Times New Roman" w:cs="Times New Roman"/>
          <w:noProof/>
          <w:sz w:val="24"/>
          <w:szCs w:val="24"/>
          <w:lang w:eastAsia="en-GB"/>
        </w:rPr>
        <w:t xml:space="preserve">h community, enhancing European and international cooperation in research. </w:t>
      </w:r>
    </w:p>
    <w:p w:rsidR="00E535A0" w:rsidRDefault="00C953F5">
      <w:pPr>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It fostered the creation and increase of critical mass in research and generated strong spillover potential to research and education. Funding for transnational access was especial</w:t>
      </w:r>
      <w:r>
        <w:rPr>
          <w:rFonts w:ascii="Times New Roman" w:eastAsia="Calibri" w:hAnsi="Times New Roman" w:cs="Times New Roman"/>
          <w:noProof/>
          <w:sz w:val="24"/>
          <w:szCs w:val="24"/>
          <w:lang w:eastAsia="en-GB"/>
        </w:rPr>
        <w:t xml:space="preserve">ly important for small and newer Member States.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t>The Programme also facilitated the development and use of new and improved research methods and technologies. The eScience paradigm shift is an important development, which is changing the nature of the res</w:t>
      </w:r>
      <w:r>
        <w:rPr>
          <w:rFonts w:ascii="Times New Roman" w:eastAsia="Calibri" w:hAnsi="Times New Roman" w:cs="Times New Roman"/>
          <w:noProof/>
          <w:sz w:val="24"/>
          <w:szCs w:val="24"/>
          <w:lang w:eastAsia="en-GB"/>
        </w:rPr>
        <w:t>earch process in some fields. The ability of the e-Infrastructure communities to deliver user-tailored services and the development of a multilayer e-Infrastructure ecosystem have been key in helping European researchers to stay at the forefront of scienti</w:t>
      </w:r>
      <w:r>
        <w:rPr>
          <w:rFonts w:ascii="Times New Roman" w:eastAsia="Calibri" w:hAnsi="Times New Roman" w:cs="Times New Roman"/>
          <w:noProof/>
          <w:sz w:val="24"/>
          <w:szCs w:val="24"/>
          <w:lang w:eastAsia="en-GB"/>
        </w:rPr>
        <w:t>fic developments.</w:t>
      </w:r>
      <w:r>
        <w:rPr>
          <w:rFonts w:ascii="Times New Roman" w:eastAsia="Calibri" w:hAnsi="Times New Roman" w:cs="Times New Roman"/>
          <w:noProof/>
          <w:sz w:val="24"/>
          <w:szCs w:val="24"/>
        </w:rPr>
        <w:t xml:space="preserve">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FP7 RI programme has made an important contribution to increasing </w:t>
      </w:r>
      <w:r>
        <w:rPr>
          <w:rFonts w:ascii="Times New Roman" w:eastAsia="Calibri" w:hAnsi="Times New Roman" w:cs="Times New Roman"/>
          <w:bCs/>
          <w:noProof/>
          <w:sz w:val="24"/>
          <w:szCs w:val="24"/>
          <w:lang w:eastAsia="en-GB"/>
        </w:rPr>
        <w:t>international collaboration</w:t>
      </w:r>
      <w:r>
        <w:rPr>
          <w:rFonts w:ascii="Times New Roman" w:eastAsia="Calibri" w:hAnsi="Times New Roman" w:cs="Times New Roman"/>
          <w:b/>
          <w:bCs/>
          <w:noProof/>
          <w:sz w:val="24"/>
          <w:szCs w:val="24"/>
          <w:lang w:eastAsia="en-GB"/>
        </w:rPr>
        <w:t xml:space="preserve"> </w:t>
      </w:r>
      <w:r>
        <w:rPr>
          <w:rFonts w:ascii="Times New Roman" w:eastAsia="Calibri" w:hAnsi="Times New Roman" w:cs="Times New Roman"/>
          <w:noProof/>
          <w:sz w:val="24"/>
          <w:szCs w:val="24"/>
          <w:lang w:eastAsia="en-GB"/>
        </w:rPr>
        <w:t>in Research Infrastructure and opening up of the European RIs to the world, to the mutual benefit of the European and international research communities. It reinforced cooperation with countries such as the United States, Japan, Australia and Canada, and w</w:t>
      </w:r>
      <w:r>
        <w:rPr>
          <w:rFonts w:ascii="Times New Roman" w:eastAsia="Calibri" w:hAnsi="Times New Roman" w:cs="Times New Roman"/>
          <w:noProof/>
          <w:sz w:val="24"/>
          <w:szCs w:val="24"/>
          <w:lang w:eastAsia="en-GB"/>
        </w:rPr>
        <w:t>as particularly active - and successful – in enhancing collaboration with emerging economies such as Latin America, Africa, China, India and the Middle East. These intercontinental RI partnerships provide important opportunities to broaden the European kno</w:t>
      </w:r>
      <w:r>
        <w:rPr>
          <w:rFonts w:ascii="Times New Roman" w:eastAsia="Calibri" w:hAnsi="Times New Roman" w:cs="Times New Roman"/>
          <w:noProof/>
          <w:sz w:val="24"/>
          <w:szCs w:val="24"/>
          <w:lang w:eastAsia="en-GB"/>
        </w:rPr>
        <w:t xml:space="preserve">wledge base.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t xml:space="preserve">The FP7 RI programme has shown that there is potential for impacts on industrial </w:t>
      </w:r>
      <w:r>
        <w:rPr>
          <w:rFonts w:ascii="Times New Roman" w:eastAsia="Calibri" w:hAnsi="Times New Roman" w:cs="Times New Roman"/>
          <w:bCs/>
          <w:noProof/>
          <w:sz w:val="24"/>
          <w:szCs w:val="24"/>
          <w:lang w:eastAsia="en-GB"/>
        </w:rPr>
        <w:t>innovation</w:t>
      </w:r>
      <w:r>
        <w:rPr>
          <w:rFonts w:ascii="Times New Roman" w:eastAsia="Calibri" w:hAnsi="Times New Roman" w:cs="Times New Roman"/>
          <w:b/>
          <w:bCs/>
          <w:noProof/>
          <w:sz w:val="24"/>
          <w:szCs w:val="24"/>
          <w:lang w:eastAsia="en-GB"/>
        </w:rPr>
        <w:t xml:space="preserve"> </w:t>
      </w:r>
      <w:r>
        <w:rPr>
          <w:rFonts w:ascii="Times New Roman" w:eastAsia="Calibri" w:hAnsi="Times New Roman" w:cs="Times New Roman"/>
          <w:noProof/>
          <w:sz w:val="24"/>
          <w:szCs w:val="24"/>
          <w:lang w:eastAsia="en-GB"/>
        </w:rPr>
        <w:t xml:space="preserve">by fostering capacity building and knowledge transfer but has so far had little impact on industrial innovation. There are in fact early examples of </w:t>
      </w:r>
      <w:r>
        <w:rPr>
          <w:rFonts w:ascii="Times New Roman" w:eastAsia="Calibri" w:hAnsi="Times New Roman" w:cs="Times New Roman"/>
          <w:noProof/>
          <w:sz w:val="24"/>
          <w:szCs w:val="24"/>
          <w:lang w:eastAsia="en-GB"/>
        </w:rPr>
        <w:t>product innovation resulting from the involvement of industry in the RI projects, both as suppliers or users of the RIs and via the exploitation of research results. However, as little time has elapsed since the projects were undertaken, it was not possibl</w:t>
      </w:r>
      <w:r>
        <w:rPr>
          <w:rFonts w:ascii="Times New Roman" w:eastAsia="Calibri" w:hAnsi="Times New Roman" w:cs="Times New Roman"/>
          <w:noProof/>
          <w:sz w:val="24"/>
          <w:szCs w:val="24"/>
          <w:lang w:eastAsia="en-GB"/>
        </w:rPr>
        <w:t xml:space="preserve">e to measure the longer-term impact of the RI action. </w:t>
      </w:r>
    </w:p>
    <w:p w:rsidR="00E535A0" w:rsidRDefault="00E535A0">
      <w:pPr>
        <w:spacing w:after="0" w:line="240" w:lineRule="auto"/>
        <w:jc w:val="both"/>
        <w:rPr>
          <w:rFonts w:ascii="Times New Roman" w:eastAsia="Calibri"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t xml:space="preserve">The programme addressed the fragmentation of RI policies at national and European level and was successful in improving </w:t>
      </w:r>
      <w:r>
        <w:rPr>
          <w:rFonts w:ascii="Times New Roman" w:eastAsia="Calibri" w:hAnsi="Times New Roman" w:cs="Times New Roman"/>
          <w:bCs/>
          <w:noProof/>
          <w:sz w:val="24"/>
          <w:szCs w:val="24"/>
          <w:lang w:eastAsia="en-GB"/>
        </w:rPr>
        <w:t>coherence of RI policy making</w:t>
      </w:r>
      <w:r>
        <w:rPr>
          <w:rFonts w:ascii="Times New Roman" w:eastAsia="Calibri" w:hAnsi="Times New Roman" w:cs="Times New Roman"/>
          <w:b/>
          <w:bCs/>
          <w:noProof/>
          <w:sz w:val="24"/>
          <w:szCs w:val="24"/>
          <w:lang w:eastAsia="en-GB"/>
        </w:rPr>
        <w:t xml:space="preserve"> </w:t>
      </w:r>
      <w:r>
        <w:rPr>
          <w:rFonts w:ascii="Times New Roman" w:eastAsia="Calibri" w:hAnsi="Times New Roman" w:cs="Times New Roman"/>
          <w:noProof/>
          <w:sz w:val="24"/>
          <w:szCs w:val="24"/>
          <w:lang w:eastAsia="en-GB"/>
        </w:rPr>
        <w:t xml:space="preserve">based on the ESFRI roadmap and projects. </w:t>
      </w:r>
    </w:p>
    <w:p w:rsidR="00E535A0" w:rsidRDefault="00E535A0">
      <w:pPr>
        <w:spacing w:line="240" w:lineRule="auto"/>
        <w:jc w:val="both"/>
        <w:rPr>
          <w:rFonts w:ascii="Times New Roman" w:eastAsiaTheme="majorEastAsia" w:hAnsi="Times New Roman" w:cs="Times New Roman"/>
          <w:bCs/>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13.2. </w:t>
      </w:r>
      <w:hyperlink r:id="rId59" w:history="1">
        <w:r>
          <w:rPr>
            <w:rFonts w:ascii="Times New Roman" w:hAnsi="Times New Roman" w:cs="Times New Roman"/>
            <w:b/>
            <w:noProof/>
            <w:sz w:val="24"/>
            <w:szCs w:val="24"/>
          </w:rPr>
          <w:t>Research for the benefit of small and medium sized enterprises (SMEs)</w:t>
        </w:r>
      </w:hyperlink>
    </w:p>
    <w:p w:rsidR="00E535A0" w:rsidRDefault="00E535A0">
      <w:pPr>
        <w:spacing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respect to the EU added value of FP7 for SMEs three types of EAV are distinguished in the assessment of EAV: a). Technological added value, namely the added value of a European project due to technical reasons like specialised knowledge, or equipment </w:t>
      </w:r>
      <w:r>
        <w:rPr>
          <w:rFonts w:ascii="Times New Roman" w:hAnsi="Times New Roman" w:cs="Times New Roman"/>
          <w:noProof/>
          <w:sz w:val="24"/>
          <w:szCs w:val="24"/>
        </w:rPr>
        <w:t xml:space="preserve">(high or very high in 60% of the projects analysed in more detail), b). Economic added value, namely the added value of a European project due to access to international customers, or markets (high or very high in nearly 30% of projects analysed), and c). </w:t>
      </w:r>
      <w:r>
        <w:rPr>
          <w:rFonts w:ascii="Times New Roman" w:hAnsi="Times New Roman" w:cs="Times New Roman"/>
          <w:noProof/>
          <w:sz w:val="24"/>
          <w:szCs w:val="24"/>
        </w:rPr>
        <w:t xml:space="preserve">The European funding is compensating a lack of alternative funding (high or very high in more than 70% of cases). </w:t>
      </w:r>
    </w:p>
    <w:p w:rsidR="00E535A0" w:rsidRDefault="00C953F5">
      <w:pPr>
        <w:spacing w:line="240" w:lineRule="auto"/>
        <w:rPr>
          <w:rFonts w:eastAsiaTheme="majorEastAsia"/>
          <w:bCs/>
          <w:noProof/>
          <w:sz w:val="26"/>
          <w:szCs w:val="26"/>
        </w:rPr>
      </w:pPr>
      <w:r>
        <w:rPr>
          <w:rFonts w:eastAsiaTheme="majorEastAsia"/>
          <w:bCs/>
          <w:noProof/>
          <w:sz w:val="26"/>
          <w:szCs w:val="26"/>
        </w:rPr>
        <w:br w:type="page"/>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 xml:space="preserve">13.3. </w:t>
      </w:r>
      <w:hyperlink r:id="rId60" w:history="1">
        <w:r>
          <w:rPr>
            <w:rFonts w:ascii="Times New Roman" w:eastAsiaTheme="majorEastAsia" w:hAnsi="Times New Roman" w:cs="Times New Roman"/>
            <w:b/>
            <w:bCs/>
            <w:noProof/>
            <w:sz w:val="24"/>
            <w:szCs w:val="24"/>
          </w:rPr>
          <w:t>Regions of Knowledge</w:t>
        </w:r>
      </w:hyperlink>
    </w:p>
    <w:p w:rsidR="00E535A0" w:rsidRDefault="00E535A0">
      <w:pPr>
        <w:autoSpaceDE w:val="0"/>
        <w:autoSpaceDN w:val="0"/>
        <w:adjustRightInd w:val="0"/>
        <w:spacing w:after="0" w:line="240" w:lineRule="auto"/>
        <w:ind w:left="360"/>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RoK contribute to the competitiv</w:t>
      </w:r>
      <w:r>
        <w:rPr>
          <w:rFonts w:ascii="Times New Roman" w:hAnsi="Times New Roman" w:cs="Times New Roman"/>
          <w:b/>
          <w:noProof/>
          <w:sz w:val="24"/>
          <w:szCs w:val="24"/>
        </w:rPr>
        <w:t>eness of European industry?</w:t>
      </w:r>
    </w:p>
    <w:p w:rsidR="00E535A0" w:rsidRDefault="00E535A0">
      <w:pPr>
        <w:autoSpaceDE w:val="0"/>
        <w:autoSpaceDN w:val="0"/>
        <w:adjustRightInd w:val="0"/>
        <w:spacing w:after="0" w:line="240" w:lineRule="auto"/>
        <w:ind w:left="360"/>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Regions of Knowledge activity set the fundaments for future impacts to occur in terms of an enhanced regional economic competitiveness through R&amp;D activities.</w:t>
      </w:r>
      <w:r>
        <w:rPr>
          <w:rFonts w:ascii="Times New Roman" w:hAnsi="Times New Roman" w:cs="Times New Roman"/>
          <w:noProof/>
          <w:sz w:val="24"/>
          <w:szCs w:val="24"/>
          <w:vertAlign w:val="superscript"/>
        </w:rPr>
        <w:footnoteReference w:id="27"/>
      </w:r>
    </w:p>
    <w:p w:rsidR="00E535A0" w:rsidRDefault="00E535A0">
      <w:pPr>
        <w:spacing w:after="0" w:line="240" w:lineRule="auto"/>
        <w:ind w:left="360"/>
        <w:jc w:val="both"/>
        <w:rPr>
          <w:rFonts w:ascii="Times New Roman" w:hAnsi="Times New Roman" w:cs="Times New Roman"/>
          <w:noProof/>
          <w:sz w:val="24"/>
          <w:szCs w:val="24"/>
        </w:rPr>
      </w:pPr>
    </w:p>
    <w:p w:rsidR="00E535A0" w:rsidRDefault="00C953F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 noticeable immediate result of the improved intra-regional c</w:t>
      </w:r>
      <w:r>
        <w:rPr>
          <w:rFonts w:ascii="Times New Roman" w:hAnsi="Times New Roman" w:cs="Times New Roman"/>
          <w:noProof/>
          <w:sz w:val="24"/>
          <w:szCs w:val="24"/>
        </w:rPr>
        <w:t>ommunication as well as of the strategic focus of the RoK programme activities has been an improved articulation between on the one hand the clusters initiatives, R&amp;D capabilities in the region and industry needs and, on the other hand, regional innovation</w:t>
      </w:r>
      <w:r>
        <w:rPr>
          <w:rFonts w:ascii="Times New Roman" w:hAnsi="Times New Roman" w:cs="Times New Roman"/>
          <w:noProof/>
          <w:sz w:val="24"/>
          <w:szCs w:val="24"/>
        </w:rPr>
        <w:t xml:space="preserve"> strategies.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RoK programme contributed to the competitiveness of European industry by offering a large space of cooperation to clusters in which the business component was always key. This very much appears in the ten selected case studies annexed to </w:t>
      </w:r>
      <w:r>
        <w:rPr>
          <w:rFonts w:ascii="Times New Roman" w:eastAsia="Calibri" w:hAnsi="Times New Roman" w:cs="Times New Roman"/>
          <w:noProof/>
          <w:sz w:val="24"/>
          <w:szCs w:val="24"/>
        </w:rPr>
        <w:t>the final evaluation.</w:t>
      </w:r>
    </w:p>
    <w:p w:rsidR="00E535A0" w:rsidRDefault="00C953F5">
      <w:pPr>
        <w:autoSpaceDE w:val="0"/>
        <w:autoSpaceDN w:val="0"/>
        <w:adjustRightInd w:val="0"/>
        <w:spacing w:after="0" w:line="240" w:lineRule="auto"/>
        <w:jc w:val="both"/>
        <w:rPr>
          <w:rFonts w:ascii="Times New Roman" w:eastAsia="Calibri" w:hAnsi="Times New Roman" w:cs="Times New Roman"/>
          <w:i/>
          <w:noProof/>
          <w:sz w:val="24"/>
          <w:szCs w:val="24"/>
        </w:rPr>
      </w:pPr>
      <w:r>
        <w:rPr>
          <w:rFonts w:ascii="Times New Roman" w:eastAsia="Calibri" w:hAnsi="Times New Roman" w:cs="Times New Roman"/>
          <w:noProof/>
          <w:sz w:val="24"/>
          <w:szCs w:val="24"/>
        </w:rPr>
        <w:t xml:space="preserve">The impact of the RoK projects was strengthened from 2011 by asking to the partners involved to set up a Joint Action Plan by the middle of their project. This favoured a more concrete implementation in the second half of projects, </w:t>
      </w:r>
      <w:r>
        <w:rPr>
          <w:rFonts w:ascii="Times New Roman" w:eastAsia="Calibri" w:hAnsi="Times New Roman" w:cs="Times New Roman"/>
          <w:noProof/>
          <w:sz w:val="24"/>
          <w:szCs w:val="24"/>
        </w:rPr>
        <w:t>and prepared the ground for possible synergies with European Structural and Investment Funds. This happened especially in 2014 and 2015  when this process coincided with the preparation of smart specialisation strategies in European regions. This enabled m</w:t>
      </w:r>
      <w:r>
        <w:rPr>
          <w:rFonts w:ascii="Times New Roman" w:eastAsia="Calibri" w:hAnsi="Times New Roman" w:cs="Times New Roman"/>
          <w:noProof/>
          <w:sz w:val="24"/>
          <w:szCs w:val="24"/>
        </w:rPr>
        <w:t>any regions to take advantage of "RoK success stories" in the choice of their priorities for the 2014-2020 period. The two RoK in which Aragon was involved over the last years: SoCool and We@EU encouraged for instance the Regional Authority to consider log</w:t>
      </w:r>
      <w:r>
        <w:rPr>
          <w:rFonts w:ascii="Times New Roman" w:eastAsia="Calibri" w:hAnsi="Times New Roman" w:cs="Times New Roman"/>
          <w:noProof/>
          <w:sz w:val="24"/>
          <w:szCs w:val="24"/>
        </w:rPr>
        <w:t>istics and water management among their priorities when preparing their Smart Specialisation strategy.  In the last call 2012-2013 a mandatory contribution to regional smart specialisation strategies was stipulated in the work programme. In 2007 and 2008 d</w:t>
      </w:r>
      <w:r>
        <w:rPr>
          <w:rFonts w:ascii="Times New Roman" w:eastAsia="Calibri" w:hAnsi="Times New Roman" w:cs="Times New Roman"/>
          <w:noProof/>
          <w:sz w:val="24"/>
          <w:szCs w:val="24"/>
        </w:rPr>
        <w:t>edicated calls were launched at the benefit of emerging clusters that contributed of the development of approximately 15 new clusters.</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Another concrete example of contribution comes from, the project CARE which has contributed to the aviation industry's ab</w:t>
      </w:r>
      <w:r>
        <w:rPr>
          <w:rFonts w:ascii="Times New Roman" w:eastAsia="Calibri" w:hAnsi="Times New Roman" w:cs="Times New Roman"/>
          <w:noProof/>
          <w:sz w:val="24"/>
          <w:szCs w:val="24"/>
        </w:rPr>
        <w:t>ility to innovate and rapidly meet the demand for new airplanes in the EU. The team targeted economic and environmental priorities, while also clarifying relevant funding and international collaboration opportunities.</w:t>
      </w:r>
    </w:p>
    <w:p w:rsidR="00E535A0" w:rsidRDefault="00E535A0">
      <w:pPr>
        <w:autoSpaceDE w:val="0"/>
        <w:autoSpaceDN w:val="0"/>
        <w:adjustRightInd w:val="0"/>
        <w:spacing w:after="0" w:line="240" w:lineRule="auto"/>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RoK contribute to increase Eu</w:t>
      </w:r>
      <w:r>
        <w:rPr>
          <w:rFonts w:ascii="Times New Roman" w:hAnsi="Times New Roman" w:cs="Times New Roman"/>
          <w:b/>
          <w:noProof/>
          <w:sz w:val="24"/>
          <w:szCs w:val="24"/>
        </w:rPr>
        <w:t>ropean and international wide S&amp;T collaboration and networking for sharing R&amp;D risks and costs?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Regions of Knowledge activity has had a substantial impact on networking and collaboration.</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rPr>
        <w:t xml:space="preserve">  It helped establishing a critical mass between Regions of Kno</w:t>
      </w:r>
      <w:r>
        <w:rPr>
          <w:rFonts w:ascii="Times New Roman" w:hAnsi="Times New Roman" w:cs="Times New Roman"/>
          <w:noProof/>
          <w:sz w:val="24"/>
          <w:szCs w:val="24"/>
        </w:rPr>
        <w:t xml:space="preserve">wledge partners for R&amp;D projects. </w:t>
      </w:r>
      <w:r>
        <w:rPr>
          <w:rFonts w:ascii="Times New Roman" w:eastAsia="Calibri" w:hAnsi="Times New Roman" w:cs="Times New Roman"/>
          <w:noProof/>
          <w:sz w:val="24"/>
          <w:szCs w:val="24"/>
        </w:rPr>
        <w:t>More specifically, RoK supported the establishment of research-driven clusters that – in balanced partnerships, termed ‘triple helix’ actors – associate universities and research centres with enterprises and regional autho</w:t>
      </w:r>
      <w:r>
        <w:rPr>
          <w:rFonts w:ascii="Times New Roman" w:eastAsia="Calibri" w:hAnsi="Times New Roman" w:cs="Times New Roman"/>
          <w:noProof/>
          <w:sz w:val="24"/>
          <w:szCs w:val="24"/>
        </w:rPr>
        <w:t xml:space="preserve">rities.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‘number of networking, collaboration and research network with other institutions’, participation in FP7 projects’ and ‘participation in EU level research</w:t>
      </w:r>
      <w:r>
        <w:rPr>
          <w:rFonts w:ascii="Times New Roman" w:eastAsia="Calibri" w:hAnsi="Times New Roman" w:cs="Times New Roman"/>
          <w:b/>
          <w:noProof/>
          <w:sz w:val="24"/>
          <w:szCs w:val="24"/>
        </w:rPr>
        <w:t xml:space="preserve"> </w:t>
      </w:r>
      <w:r>
        <w:rPr>
          <w:rFonts w:ascii="Times New Roman" w:eastAsia="Calibri" w:hAnsi="Times New Roman" w:cs="Times New Roman"/>
          <w:noProof/>
          <w:sz w:val="24"/>
          <w:szCs w:val="24"/>
        </w:rPr>
        <w:t xml:space="preserve">activities’ is considered to have benefitted substantially from participation in the </w:t>
      </w:r>
      <w:r>
        <w:rPr>
          <w:rFonts w:ascii="Times New Roman" w:eastAsia="Calibri" w:hAnsi="Times New Roman" w:cs="Times New Roman"/>
          <w:noProof/>
          <w:sz w:val="24"/>
          <w:szCs w:val="24"/>
        </w:rPr>
        <w:t>RoK programme.</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Most potential network and collaboration effects are expected at the European level. Especially partnerships with EU-level public research institutes, universities and public authorities are perceived as potential collaborators, though it s</w:t>
      </w:r>
      <w:r>
        <w:rPr>
          <w:rFonts w:ascii="Times New Roman" w:eastAsia="Calibri" w:hAnsi="Times New Roman" w:cs="Times New Roman"/>
          <w:noProof/>
          <w:sz w:val="24"/>
          <w:szCs w:val="24"/>
        </w:rPr>
        <w:t>hould be mentioned that public authorities and SMEs are also perceived to be potential partners at a regional level. The final evaluation shows that in all the addressed areas, except for a few regions, there has been an increase in the establishment of ne</w:t>
      </w:r>
      <w:r>
        <w:rPr>
          <w:rFonts w:ascii="Times New Roman" w:eastAsia="Calibri" w:hAnsi="Times New Roman" w:cs="Times New Roman"/>
          <w:noProof/>
          <w:sz w:val="24"/>
          <w:szCs w:val="24"/>
        </w:rPr>
        <w:t xml:space="preserve">w relationships and/or R&amp;D partnerships – especially at a European level. The relationships with public authorities, universities and public research institutes are those which have increased the most.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Final evaluation of the RoK programme’s (2014) i</w:t>
      </w:r>
      <w:r>
        <w:rPr>
          <w:rFonts w:ascii="Times New Roman" w:eastAsia="Times New Roman" w:hAnsi="Times New Roman" w:cs="Times New Roman"/>
          <w:noProof/>
          <w:sz w:val="24"/>
          <w:szCs w:val="24"/>
          <w:lang w:eastAsia="en-GB"/>
        </w:rPr>
        <w:t>mpact and sustainability centres on the extent to which the research results have led to wider effects and the extent to which these wider effects are likely to last after the RoK-funded activities have terminated. The questionnaire survey results indicate</w:t>
      </w:r>
      <w:r>
        <w:rPr>
          <w:rFonts w:ascii="Times New Roman" w:eastAsia="Times New Roman" w:hAnsi="Times New Roman" w:cs="Times New Roman"/>
          <w:noProof/>
          <w:sz w:val="24"/>
          <w:szCs w:val="24"/>
          <w:lang w:eastAsia="en-GB"/>
        </w:rPr>
        <w:t xml:space="preserve"> that the five most important RoK impacts are:</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Enhanced knowledge of R&amp;D needs in the sector of the cluster</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Strategic inputs to regional policy-making</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Establishment of a critical mass between RoK partners for R&amp;D projects</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Enhanced reputation and </w:t>
      </w:r>
      <w:r>
        <w:rPr>
          <w:rFonts w:ascii="Times New Roman" w:eastAsia="Times New Roman" w:hAnsi="Times New Roman" w:cs="Times New Roman"/>
          <w:noProof/>
          <w:sz w:val="24"/>
          <w:szCs w:val="24"/>
          <w:lang w:eastAsia="en-GB"/>
        </w:rPr>
        <w:t>image of participation organisations within their regions</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Enhanced public awareness on the benefits of research-driven clusters in the regions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RoK programme sometimes enhanced cooperation beyond usual expectations. The very active and powerful ERRIN </w:t>
      </w:r>
      <w:r>
        <w:rPr>
          <w:rFonts w:ascii="Times New Roman" w:hAnsi="Times New Roman" w:cs="Times New Roman"/>
          <w:noProof/>
          <w:sz w:val="24"/>
          <w:szCs w:val="24"/>
        </w:rPr>
        <w:t>– European Regional Research and Innovation Network – was set up by the partners of a RoK project which wanted to give more sustainability to their cooperation and who had understood the need for a Brussels based network helping innovative European regions</w:t>
      </w:r>
      <w:r>
        <w:rPr>
          <w:rFonts w:ascii="Times New Roman" w:hAnsi="Times New Roman" w:cs="Times New Roman"/>
          <w:noProof/>
          <w:sz w:val="24"/>
          <w:szCs w:val="24"/>
        </w:rPr>
        <w:t xml:space="preserve"> to cooperate on a permanent basis.</w:t>
      </w: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RoK contribute to improve the coordination of European, national and regional research policies?</w:t>
      </w:r>
    </w:p>
    <w:p w:rsidR="00E535A0" w:rsidRDefault="00E535A0">
      <w:pPr>
        <w:autoSpaceDE w:val="0"/>
        <w:autoSpaceDN w:val="0"/>
        <w:adjustRightInd w:val="0"/>
        <w:spacing w:after="0" w:line="240" w:lineRule="auto"/>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RoK has proven to be a unique and relevant programme at both regional and European level, addressing a real and pr</w:t>
      </w:r>
      <w:r>
        <w:rPr>
          <w:rFonts w:ascii="Times New Roman" w:hAnsi="Times New Roman" w:cs="Times New Roman"/>
          <w:noProof/>
          <w:sz w:val="24"/>
          <w:szCs w:val="24"/>
        </w:rPr>
        <w:t>eviously unmet need for awareness and funding for projects, which are aligned with Smart Specialisation strategies and which are pertinent to issues of research and innovation excellence at a national and international level. Considering that Smart Special</w:t>
      </w:r>
      <w:r>
        <w:rPr>
          <w:rFonts w:ascii="Times New Roman" w:hAnsi="Times New Roman" w:cs="Times New Roman"/>
          <w:noProof/>
          <w:sz w:val="24"/>
          <w:szCs w:val="24"/>
        </w:rPr>
        <w:t>ization strategies is a fairly novel policy tool, it is also worth noting here that the final evaluation indicates how Smart Specialization has benefitted greatly from the RoK programme, both in scale and scope.</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RoK contribution in this field anticipa</w:t>
      </w:r>
      <w:r>
        <w:rPr>
          <w:rFonts w:ascii="Times New Roman" w:eastAsia="Calibri" w:hAnsi="Times New Roman" w:cs="Times New Roman"/>
          <w:noProof/>
          <w:sz w:val="24"/>
          <w:szCs w:val="24"/>
        </w:rPr>
        <w:t>ted the need for paying more attention in our policy support to the clustering between research, business and regional authorities ("triple helix") through regional research agendas and Joint Action Plans, due to be implemented in the second phase of the p</w:t>
      </w:r>
      <w:r>
        <w:rPr>
          <w:rFonts w:ascii="Times New Roman" w:eastAsia="Calibri" w:hAnsi="Times New Roman" w:cs="Times New Roman"/>
          <w:noProof/>
          <w:sz w:val="24"/>
          <w:szCs w:val="24"/>
        </w:rPr>
        <w:t>rojects. Many RoK projects contributed indeed to an enhanced coordination of European, national and regional research policies. The European ALICE Platform devoted to logistics was for instance created thanks to the impulse given by a RoK project in this f</w:t>
      </w:r>
      <w:r>
        <w:rPr>
          <w:rFonts w:ascii="Times New Roman" w:eastAsia="Calibri" w:hAnsi="Times New Roman" w:cs="Times New Roman"/>
          <w:noProof/>
          <w:sz w:val="24"/>
          <w:szCs w:val="24"/>
        </w:rPr>
        <w:t>ield, which enabled their partners to move from regional project oriented cooperation to a national and European policy perspective. RoK is among the few FP 7 programmes which paid attention to the need for more cooperation between the regional, national a</w:t>
      </w:r>
      <w:r>
        <w:rPr>
          <w:rFonts w:ascii="Times New Roman" w:eastAsia="Calibri" w:hAnsi="Times New Roman" w:cs="Times New Roman"/>
          <w:noProof/>
          <w:sz w:val="24"/>
          <w:szCs w:val="24"/>
        </w:rPr>
        <w:t>nd European components of Research and Innovation policies, taking into account the complexity of the multi-governance frame of the Member States.</w:t>
      </w:r>
    </w:p>
    <w:p w:rsidR="00E535A0" w:rsidRDefault="00E535A0">
      <w:pPr>
        <w:spacing w:after="0" w:line="240" w:lineRule="auto"/>
        <w:jc w:val="both"/>
        <w:rPr>
          <w:rFonts w:ascii="Times New Roman" w:hAnsi="Times New Roman" w:cs="Times New Roman"/>
          <w:b/>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How did RoK support key Community policies?</w:t>
      </w:r>
    </w:p>
    <w:p w:rsidR="00E535A0" w:rsidRDefault="00E535A0">
      <w:pPr>
        <w:autoSpaceDE w:val="0"/>
        <w:autoSpaceDN w:val="0"/>
        <w:adjustRightInd w:val="0"/>
        <w:spacing w:after="0" w:line="240" w:lineRule="auto"/>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Regions of Knowledge activity has had a substantial impact </w:t>
      </w:r>
      <w:r>
        <w:rPr>
          <w:rFonts w:ascii="Times New Roman" w:hAnsi="Times New Roman" w:cs="Times New Roman"/>
          <w:noProof/>
          <w:sz w:val="24"/>
          <w:szCs w:val="24"/>
        </w:rPr>
        <w:t>on in the smart specialisation of regions</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rPr>
        <w:t>.</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RoK enabled DG RTD to set up an Expert Group in order to examine the role of clusters in smart specialisation strategies in European regions. This Expert Group produced a well spread report in 2013 which </w:t>
      </w:r>
      <w:r>
        <w:rPr>
          <w:rFonts w:ascii="Times New Roman" w:eastAsia="Calibri" w:hAnsi="Times New Roman" w:cs="Times New Roman"/>
          <w:noProof/>
          <w:sz w:val="24"/>
          <w:szCs w:val="24"/>
        </w:rPr>
        <w:t>identifies six leverage points for clusters and clusters policies to be used in Smart Specialisation Strategies. These relate to the need for prioritization, integrated policy mixes, smart and evidence-based policy-making, multi-level governance, cross-bor</w:t>
      </w:r>
      <w:r>
        <w:rPr>
          <w:rFonts w:ascii="Times New Roman" w:eastAsia="Calibri" w:hAnsi="Times New Roman" w:cs="Times New Roman"/>
          <w:noProof/>
          <w:sz w:val="24"/>
          <w:szCs w:val="24"/>
        </w:rPr>
        <w:t>der cooperation and sustained stakeholders' engagement. The Expert Group findings were presented by his Chair, Mr Ketels (Harvard Business School) during the WIRE conference in Cork, Ireland, in June 2013.</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RoK also had a strong political impact on the new</w:t>
      </w:r>
      <w:r>
        <w:rPr>
          <w:rFonts w:ascii="Times New Roman" w:eastAsia="Calibri" w:hAnsi="Times New Roman" w:cs="Times New Roman"/>
          <w:noProof/>
          <w:sz w:val="24"/>
          <w:szCs w:val="24"/>
        </w:rPr>
        <w:t xml:space="preserve"> generation of European Structural and Investment Funds as the recitals of the regulations concerning the interregional cooperation include a reference to the RoK frame which is expected to enrich the new INTERREG EUROPE programmes. An interservice coopera</w:t>
      </w:r>
      <w:r>
        <w:rPr>
          <w:rFonts w:ascii="Times New Roman" w:eastAsia="Calibri" w:hAnsi="Times New Roman" w:cs="Times New Roman"/>
          <w:noProof/>
          <w:sz w:val="24"/>
          <w:szCs w:val="24"/>
        </w:rPr>
        <w:t>tion was set up in order to ease concrete synergies.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Smart Specialisation is a pillar of the EU cohesion policy for the 2014-2020 period and clusters policies plaid an important role in the setting up of the Smart Specialization Strategies which shoul</w:t>
      </w:r>
      <w:r>
        <w:rPr>
          <w:rFonts w:ascii="Times New Roman" w:eastAsia="Calibri" w:hAnsi="Times New Roman" w:cs="Times New Roman"/>
          <w:noProof/>
          <w:sz w:val="24"/>
          <w:szCs w:val="24"/>
        </w:rPr>
        <w:t xml:space="preserve">d be continued in the current implementation phase. The Guide on R&amp;I Strategies for Smart Specialisation (RIS 3 Guide) includes a large section devoted to clusters and clusters policies which is very consistent with the logic of RoK. </w:t>
      </w:r>
    </w:p>
    <w:p w:rsidR="00E535A0" w:rsidRDefault="00E535A0">
      <w:pPr>
        <w:autoSpaceDE w:val="0"/>
        <w:autoSpaceDN w:val="0"/>
        <w:adjustRightInd w:val="0"/>
        <w:spacing w:after="0" w:line="240" w:lineRule="auto"/>
        <w:jc w:val="both"/>
        <w:rPr>
          <w:rFonts w:ascii="Times New Roman" w:hAnsi="Times New Roman" w:cs="Times New Roman"/>
          <w:noProof/>
          <w:sz w:val="24"/>
          <w:szCs w:val="24"/>
          <w:lang w:val="en-US"/>
        </w:rPr>
      </w:pPr>
    </w:p>
    <w:p w:rsidR="00E535A0" w:rsidRDefault="00C953F5">
      <w:p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How much did RoK </w:t>
      </w:r>
      <w:r>
        <w:rPr>
          <w:rFonts w:ascii="Times New Roman" w:hAnsi="Times New Roman" w:cs="Times New Roman"/>
          <w:b/>
          <w:noProof/>
          <w:sz w:val="24"/>
          <w:szCs w:val="24"/>
        </w:rPr>
        <w:t>contribute to job creation?</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Clusters increase productivity, stimulate innovation, facilitate commercialization. The RoK programme aimed at fostering regional growth and competitiveness thanks to a more active cooperation between regional research and innov</w:t>
      </w:r>
      <w:r>
        <w:rPr>
          <w:rFonts w:ascii="Times New Roman" w:hAnsi="Times New Roman" w:cs="Times New Roman"/>
          <w:noProof/>
          <w:sz w:val="24"/>
          <w:szCs w:val="24"/>
        </w:rPr>
        <w:t>ation clusters. Considering the budgetary limits of this programme, the focus of the calls chosen each year took into account the most promising fields in terms of growth and jobs such as sustainable energy and health. A strong connection with the Smart Sp</w:t>
      </w:r>
      <w:r>
        <w:rPr>
          <w:rFonts w:ascii="Times New Roman" w:hAnsi="Times New Roman" w:cs="Times New Roman"/>
          <w:noProof/>
          <w:sz w:val="24"/>
          <w:szCs w:val="24"/>
        </w:rPr>
        <w:t xml:space="preserve">ecialization strategies also intended at choosing priorities which can be implemented by Research and Innovation stakeholders such as clusters having a sufficient critical mass.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programme included mentoring activities which enabled excellent cluster</w:t>
      </w:r>
      <w:r>
        <w:rPr>
          <w:rFonts w:ascii="Times New Roman" w:hAnsi="Times New Roman" w:cs="Times New Roman"/>
          <w:noProof/>
          <w:sz w:val="24"/>
          <w:szCs w:val="24"/>
        </w:rPr>
        <w:t xml:space="preserve">s to also boost growth and jobs in more deprived regions. This programme can be seen as a precursor as regards the need for tackling the innovative divide at a European level, with opportunities to be shared between regions and clusters with some tangible </w:t>
      </w:r>
      <w:r>
        <w:rPr>
          <w:rFonts w:ascii="Times New Roman" w:hAnsi="Times New Roman" w:cs="Times New Roman"/>
          <w:noProof/>
          <w:sz w:val="24"/>
          <w:szCs w:val="24"/>
        </w:rPr>
        <w:t xml:space="preserve">impact in terms of jobs and growth.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To what extent the results of RoK contribute to the achievements of the new Commission's priorities?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RoK programme very much anticipated the move from FP 7 to HORIZON 2020 by paying a reinforced attention to the li</w:t>
      </w:r>
      <w:r>
        <w:rPr>
          <w:rFonts w:ascii="Times New Roman" w:hAnsi="Times New Roman" w:cs="Times New Roman"/>
          <w:noProof/>
          <w:sz w:val="24"/>
          <w:szCs w:val="24"/>
        </w:rPr>
        <w:t>nk between research and innovation from 2011. This anticipation was encouraged by the dynamics of clusters which are by nature in a good position to concretely understand this connection and contribute to a better economic output of research in fields corr</w:t>
      </w:r>
      <w:r>
        <w:rPr>
          <w:rFonts w:ascii="Times New Roman" w:hAnsi="Times New Roman" w:cs="Times New Roman"/>
          <w:noProof/>
          <w:sz w:val="24"/>
          <w:szCs w:val="24"/>
        </w:rPr>
        <w:t xml:space="preserve">esponding to societal challenges.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choice of several RoK calls can be considered as having contributed to the achievements of the new Commission's proposals. This applies in particular to the first priority of the new Commission ("a new boost for jobs,</w:t>
      </w:r>
      <w:r>
        <w:rPr>
          <w:rFonts w:ascii="Times New Roman" w:hAnsi="Times New Roman" w:cs="Times New Roman"/>
          <w:noProof/>
          <w:sz w:val="24"/>
          <w:szCs w:val="24"/>
        </w:rPr>
        <w:t xml:space="preserve"> growth and investment"), considering the participation of many SMEs in clusters involved in this programme. This also applies to the need of a connected digital single market (second priority) and of a resilient energy Union with a forward looking climate</w:t>
      </w:r>
      <w:r>
        <w:rPr>
          <w:rFonts w:ascii="Times New Roman" w:hAnsi="Times New Roman" w:cs="Times New Roman"/>
          <w:noProof/>
          <w:sz w:val="24"/>
          <w:szCs w:val="24"/>
        </w:rPr>
        <w:t xml:space="preserve"> change policy (third priority) which were among the thematic priorities of RoK projects.  </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the results of RoK contribute to the achievements of the new Commission's priorities?</w:t>
      </w:r>
    </w:p>
    <w:p w:rsidR="00E535A0" w:rsidRDefault="00C953F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RoK programme is the only FP 7 programme which was position</w:t>
      </w:r>
      <w:r>
        <w:rPr>
          <w:rFonts w:ascii="Times New Roman" w:hAnsi="Times New Roman" w:cs="Times New Roman"/>
          <w:noProof/>
          <w:sz w:val="24"/>
          <w:szCs w:val="24"/>
          <w:lang w:val="en-US"/>
        </w:rPr>
        <w:t>ed at a crossroad between the EU regional, research and innovation policies based on a strong cooperation with DG ENTR and DG REGIO. The programme was designed in coherence with the European policy in the field of clusters and the CIP. It also paid attenti</w:t>
      </w:r>
      <w:r>
        <w:rPr>
          <w:rFonts w:ascii="Times New Roman" w:hAnsi="Times New Roman" w:cs="Times New Roman"/>
          <w:noProof/>
          <w:sz w:val="24"/>
          <w:szCs w:val="24"/>
          <w:lang w:val="en-US"/>
        </w:rPr>
        <w:t xml:space="preserve">on to the growing importance of the smart specialization process at the level of the EU cohesion policy. </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What was the added value of RoK when compared with national research and innovation programmes?</w:t>
      </w:r>
    </w:p>
    <w:p w:rsidR="00E535A0" w:rsidRDefault="00C953F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Member State and regional funding has been aimed</w:t>
      </w:r>
      <w:r>
        <w:rPr>
          <w:rFonts w:ascii="Times New Roman" w:hAnsi="Times New Roman" w:cs="Times New Roman"/>
          <w:noProof/>
          <w:sz w:val="24"/>
          <w:szCs w:val="24"/>
        </w:rPr>
        <w:t xml:space="preserve"> at supporting clusters in given regions and member states, transnational cooperation of clusters as well as the integration of cluster’s actors in ERA, are activities which require European programmes and support. The cooperation among clusters not only c</w:t>
      </w:r>
      <w:r>
        <w:rPr>
          <w:rFonts w:ascii="Times New Roman" w:hAnsi="Times New Roman" w:cs="Times New Roman"/>
          <w:noProof/>
          <w:sz w:val="24"/>
          <w:szCs w:val="24"/>
        </w:rPr>
        <w:t>ontributes to tackling pan-European challenges but can have a critical role in deploying new technologies, services and products which respond to European societal and economic challenges. International cluster cooperation can contribute significantly to p</w:t>
      </w:r>
      <w:r>
        <w:rPr>
          <w:rFonts w:ascii="Times New Roman" w:hAnsi="Times New Roman" w:cs="Times New Roman"/>
          <w:noProof/>
          <w:sz w:val="24"/>
          <w:szCs w:val="24"/>
        </w:rPr>
        <w:t>ooling of resources (achieving critical mass; economies of scale and scope), to reduction of research risk / of commercial risk and    to EU scale of dissemination of research results. Finally the cluster cooperation becomes even more relevant in supportin</w:t>
      </w:r>
      <w:r>
        <w:rPr>
          <w:rFonts w:ascii="Times New Roman" w:hAnsi="Times New Roman" w:cs="Times New Roman"/>
          <w:noProof/>
          <w:sz w:val="24"/>
          <w:szCs w:val="24"/>
        </w:rPr>
        <w:t>g the cluster’s actor’s participation, including SMEs to global value chains.</w:t>
      </w:r>
    </w:p>
    <w:p w:rsidR="00E535A0" w:rsidRDefault="00E535A0">
      <w:pPr>
        <w:spacing w:after="0" w:line="240" w:lineRule="auto"/>
        <w:jc w:val="both"/>
        <w:rPr>
          <w:rFonts w:ascii="Times New Roman" w:eastAsia="Times New Roman" w:hAnsi="Times New Roman" w:cs="Times New Roman"/>
          <w:noProof/>
          <w:sz w:val="24"/>
          <w:szCs w:val="24"/>
          <w:lang w:eastAsia="en-GB"/>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As Figure 4 below shows there is a substantial increase in benefits and added value for the part-taking organisations, which stems from the RoK programme, compared to other init</w:t>
      </w:r>
      <w:r>
        <w:rPr>
          <w:rFonts w:ascii="Times New Roman" w:eastAsia="Calibri" w:hAnsi="Times New Roman" w:cs="Times New Roman"/>
          <w:noProof/>
          <w:sz w:val="24"/>
          <w:szCs w:val="24"/>
        </w:rPr>
        <w:t>iatives and/or programmes. Especially regarding the ‘exchange of best practices’, ‘access to complementary competences’ and ‘visibility’, the RoK programme shows a highly significant impact, scoring an average of 70% in ‘higher benefits and added value’.</w:t>
      </w:r>
    </w:p>
    <w:p w:rsidR="00E535A0" w:rsidRDefault="00E535A0">
      <w:pPr>
        <w:spacing w:after="0" w:line="240" w:lineRule="auto"/>
        <w:jc w:val="center"/>
        <w:rPr>
          <w:rFonts w:ascii="Times New Roman" w:hAnsi="Times New Roman" w:cs="Times New Roman"/>
          <w:noProof/>
          <w:sz w:val="20"/>
          <w:szCs w:val="24"/>
        </w:rPr>
      </w:pPr>
    </w:p>
    <w:p w:rsidR="00E535A0" w:rsidRDefault="00C953F5">
      <w:pPr>
        <w:keepNext/>
        <w:keepLines/>
        <w:spacing w:line="240" w:lineRule="auto"/>
        <w:jc w:val="center"/>
        <w:rPr>
          <w:rFonts w:ascii="Times New Roman" w:eastAsia="Times New Roman" w:hAnsi="Times New Roman" w:cs="Times New Roman"/>
          <w:b/>
          <w:bCs/>
          <w:noProof/>
          <w:sz w:val="20"/>
          <w:szCs w:val="24"/>
          <w:lang w:eastAsia="en-GB"/>
        </w:rPr>
      </w:pPr>
      <w:r>
        <w:rPr>
          <w:rFonts w:ascii="Times New Roman" w:eastAsia="Times New Roman" w:hAnsi="Times New Roman" w:cs="Times New Roman"/>
          <w:b/>
          <w:bCs/>
          <w:noProof/>
          <w:sz w:val="20"/>
          <w:szCs w:val="24"/>
          <w:lang w:eastAsia="en-GB"/>
        </w:rPr>
        <w:t>Figure 4:</w:t>
      </w:r>
      <w:r>
        <w:rPr>
          <w:rFonts w:ascii="Times New Roman" w:eastAsia="Times New Roman" w:hAnsi="Times New Roman" w:cs="Times New Roman"/>
          <w:b/>
          <w:bCs/>
          <w:noProof/>
          <w:sz w:val="20"/>
          <w:szCs w:val="24"/>
          <w:lang w:eastAsia="en-GB"/>
        </w:rPr>
        <w:tab/>
        <w:t>The benefit and added value of the RoK project compared to other initiatives</w:t>
      </w:r>
    </w:p>
    <w:tbl>
      <w:tblPr>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739"/>
        <w:gridCol w:w="1460"/>
        <w:gridCol w:w="1481"/>
        <w:gridCol w:w="1561"/>
      </w:tblGrid>
      <w:tr w:rsidR="00E535A0">
        <w:trPr>
          <w:trHeight w:val="284"/>
        </w:trPr>
        <w:tc>
          <w:tcPr>
            <w:tcW w:w="1995" w:type="pct"/>
            <w:vMerge w:val="restart"/>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b/>
                <w:noProof/>
                <w:sz w:val="16"/>
                <w:szCs w:val="16"/>
                <w:lang w:eastAsia="en-GB"/>
              </w:rPr>
            </w:pPr>
            <w:r>
              <w:rPr>
                <w:rFonts w:ascii="Times New Roman" w:eastAsia="Times New Roman" w:hAnsi="Times New Roman" w:cs="Times New Roman"/>
                <w:b/>
                <w:noProof/>
                <w:sz w:val="16"/>
                <w:szCs w:val="16"/>
                <w:lang w:eastAsia="en-GB"/>
              </w:rPr>
              <w:t>Statements</w:t>
            </w:r>
          </w:p>
        </w:tc>
        <w:tc>
          <w:tcPr>
            <w:tcW w:w="424" w:type="pct"/>
            <w:vMerge w:val="restart"/>
          </w:tcPr>
          <w:p w:rsidR="00E535A0" w:rsidRDefault="00C953F5">
            <w:pPr>
              <w:keepNext/>
              <w:keepLines/>
              <w:spacing w:before="40" w:after="40" w:line="240" w:lineRule="auto"/>
              <w:jc w:val="both"/>
              <w:rPr>
                <w:rFonts w:ascii="Times New Roman" w:eastAsia="Times New Roman" w:hAnsi="Times New Roman" w:cs="Times New Roman"/>
                <w:b/>
                <w:noProof/>
                <w:sz w:val="16"/>
                <w:szCs w:val="16"/>
                <w:lang w:eastAsia="en-GB"/>
              </w:rPr>
            </w:pPr>
            <w:r>
              <w:rPr>
                <w:rFonts w:ascii="Times New Roman" w:eastAsia="Times New Roman" w:hAnsi="Times New Roman" w:cs="Times New Roman"/>
                <w:b/>
                <w:noProof/>
                <w:sz w:val="16"/>
                <w:szCs w:val="16"/>
                <w:lang w:eastAsia="en-GB"/>
              </w:rPr>
              <w:br/>
              <w:t>Scores</w:t>
            </w:r>
          </w:p>
        </w:tc>
        <w:tc>
          <w:tcPr>
            <w:tcW w:w="2581" w:type="pct"/>
            <w:gridSpan w:val="3"/>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 w:val="16"/>
                <w:szCs w:val="16"/>
                <w:lang w:eastAsia="en-GB"/>
              </w:rPr>
            </w:pPr>
            <w:r>
              <w:rPr>
                <w:rFonts w:ascii="Times New Roman" w:eastAsia="Times New Roman" w:hAnsi="Times New Roman" w:cs="Times New Roman"/>
                <w:b/>
                <w:noProof/>
                <w:sz w:val="16"/>
                <w:szCs w:val="16"/>
                <w:lang w:eastAsia="en-GB"/>
              </w:rPr>
              <w:t>Shares of scores</w:t>
            </w:r>
          </w:p>
        </w:tc>
      </w:tr>
      <w:tr w:rsidR="00E535A0">
        <w:trPr>
          <w:trHeight w:val="284"/>
        </w:trPr>
        <w:tc>
          <w:tcPr>
            <w:tcW w:w="1995" w:type="pct"/>
            <w:vMerge/>
            <w:shd w:val="clear" w:color="auto" w:fill="auto"/>
          </w:tcPr>
          <w:p w:rsidR="00E535A0" w:rsidRDefault="00E535A0">
            <w:pPr>
              <w:keepNext/>
              <w:keepLines/>
              <w:spacing w:before="40" w:after="40" w:line="240" w:lineRule="auto"/>
              <w:jc w:val="both"/>
              <w:rPr>
                <w:rFonts w:ascii="Times New Roman" w:eastAsia="Times New Roman" w:hAnsi="Times New Roman" w:cs="Times New Roman"/>
                <w:b/>
                <w:noProof/>
                <w:sz w:val="16"/>
                <w:szCs w:val="16"/>
                <w:lang w:eastAsia="en-GB"/>
              </w:rPr>
            </w:pPr>
          </w:p>
        </w:tc>
        <w:tc>
          <w:tcPr>
            <w:tcW w:w="424" w:type="pct"/>
            <w:vMerge/>
          </w:tcPr>
          <w:p w:rsidR="00E535A0" w:rsidRDefault="00E535A0">
            <w:pPr>
              <w:keepNext/>
              <w:keepLines/>
              <w:spacing w:before="40" w:after="40" w:line="240" w:lineRule="auto"/>
              <w:jc w:val="both"/>
              <w:rPr>
                <w:rFonts w:ascii="Times New Roman" w:eastAsia="Times New Roman" w:hAnsi="Times New Roman" w:cs="Times New Roman"/>
                <w:b/>
                <w:noProof/>
                <w:sz w:val="16"/>
                <w:szCs w:val="16"/>
                <w:lang w:eastAsia="en-GB"/>
              </w:rPr>
            </w:pPr>
          </w:p>
        </w:tc>
        <w:tc>
          <w:tcPr>
            <w:tcW w:w="837" w:type="pct"/>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Technopolis</w:t>
            </w:r>
          </w:p>
        </w:tc>
        <w:tc>
          <w:tcPr>
            <w:tcW w:w="849" w:type="pct"/>
          </w:tcPr>
          <w:p w:rsidR="00E535A0" w:rsidRDefault="00C953F5">
            <w:pPr>
              <w:keepNext/>
              <w:keepLines/>
              <w:spacing w:before="40" w:after="4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Final evaluation</w:t>
            </w:r>
          </w:p>
        </w:tc>
        <w:tc>
          <w:tcPr>
            <w:tcW w:w="895" w:type="pct"/>
          </w:tcPr>
          <w:p w:rsidR="00E535A0" w:rsidRDefault="00C953F5">
            <w:pPr>
              <w:keepNext/>
              <w:keepLines/>
              <w:spacing w:before="40" w:after="40" w:line="240" w:lineRule="auto"/>
              <w:jc w:val="both"/>
              <w:rPr>
                <w:rFonts w:ascii="Times New Roman" w:eastAsia="Times New Roman" w:hAnsi="Times New Roman" w:cs="Times New Roman"/>
                <w:b/>
                <w:noProof/>
                <w:sz w:val="16"/>
                <w:szCs w:val="16"/>
                <w:lang w:eastAsia="en-GB"/>
              </w:rPr>
            </w:pPr>
            <w:r>
              <w:rPr>
                <w:rFonts w:ascii="Times New Roman" w:eastAsia="Times New Roman" w:hAnsi="Times New Roman" w:cs="Times New Roman"/>
                <w:b/>
                <w:noProof/>
                <w:sz w:val="16"/>
                <w:szCs w:val="16"/>
                <w:lang w:eastAsia="en-GB"/>
              </w:rPr>
              <w:t>Total</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Establishment of a critical mass between RoK partners for R&amp;D projects</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95"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14%</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10%</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79%</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37%</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58%</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55%</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30%</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Strategic inputs to regional policy-making</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49" w:type="pct"/>
            <w:tcBorders>
              <w:bottom w:val="nil"/>
            </w:tcBorders>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15%</w:t>
            </w:r>
          </w:p>
        </w:tc>
        <w:tc>
          <w:tcPr>
            <w:tcW w:w="849" w:type="pct"/>
            <w:tcBorders>
              <w:top w:val="nil"/>
              <w:bottom w:val="nil"/>
            </w:tcBorders>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10%</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81%</w:t>
            </w:r>
          </w:p>
        </w:tc>
        <w:tc>
          <w:tcPr>
            <w:tcW w:w="849" w:type="pct"/>
            <w:tcBorders>
              <w:top w:val="nil"/>
              <w:bottom w:val="nil"/>
            </w:tcBorders>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42%</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62%</w:t>
            </w:r>
          </w:p>
        </w:tc>
      </w:tr>
      <w:tr w:rsidR="00E535A0">
        <w:trPr>
          <w:trHeight w:val="57"/>
        </w:trPr>
        <w:tc>
          <w:tcPr>
            <w:tcW w:w="1995" w:type="pct"/>
            <w:vMerge/>
            <w:tcBorders>
              <w:bottom w:val="single" w:sz="4" w:space="0" w:color="auto"/>
            </w:tcBorders>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single" w:sz="4" w:space="0" w:color="auto"/>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bottom w:val="single" w:sz="4" w:space="0" w:color="auto"/>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w:t>
            </w:r>
          </w:p>
        </w:tc>
        <w:tc>
          <w:tcPr>
            <w:tcW w:w="849" w:type="pct"/>
            <w:tcBorders>
              <w:top w:val="nil"/>
              <w:bottom w:val="single" w:sz="4" w:space="0" w:color="auto"/>
            </w:tcBorders>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50%</w:t>
            </w:r>
          </w:p>
        </w:tc>
        <w:tc>
          <w:tcPr>
            <w:tcW w:w="895" w:type="pct"/>
            <w:tcBorders>
              <w:top w:val="nil"/>
              <w:bottom w:val="single" w:sz="4" w:space="0" w:color="auto"/>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26%</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Creation of a new research-driven cluster within your region</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10%</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13%</w:t>
            </w:r>
          </w:p>
        </w:tc>
      </w:tr>
      <w:tr w:rsidR="00E535A0">
        <w:trPr>
          <w:trHeight w:val="57"/>
        </w:trPr>
        <w:tc>
          <w:tcPr>
            <w:tcW w:w="1995" w:type="pct"/>
            <w:vMerge/>
            <w:tcBorders>
              <w:bottom w:val="single" w:sz="4" w:space="0" w:color="auto"/>
            </w:tcBorders>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single" w:sz="4" w:space="0" w:color="auto"/>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single" w:sz="4" w:space="0" w:color="auto"/>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20%</w:t>
            </w:r>
          </w:p>
        </w:tc>
        <w:tc>
          <w:tcPr>
            <w:tcW w:w="849" w:type="pct"/>
            <w:tcBorders>
              <w:top w:val="nil"/>
              <w:bottom w:val="single" w:sz="4" w:space="0" w:color="auto"/>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95" w:type="pct"/>
            <w:tcBorders>
              <w:top w:val="nil"/>
              <w:bottom w:val="single" w:sz="4" w:space="0" w:color="auto"/>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12%</w:t>
            </w:r>
          </w:p>
        </w:tc>
      </w:tr>
      <w:tr w:rsidR="00E535A0">
        <w:trPr>
          <w:trHeight w:val="57"/>
        </w:trPr>
        <w:tc>
          <w:tcPr>
            <w:tcW w:w="1995" w:type="pct"/>
            <w:vMerge/>
            <w:tcBorders>
              <w:top w:val="single" w:sz="4" w:space="0" w:color="auto"/>
            </w:tcBorders>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single" w:sz="4" w:space="0" w:color="auto"/>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single" w:sz="4" w:space="0" w:color="auto"/>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63%</w:t>
            </w:r>
          </w:p>
        </w:tc>
        <w:tc>
          <w:tcPr>
            <w:tcW w:w="849" w:type="pct"/>
            <w:tcBorders>
              <w:top w:val="single" w:sz="4" w:space="0" w:color="auto"/>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c>
          <w:tcPr>
            <w:tcW w:w="895" w:type="pct"/>
            <w:tcBorders>
              <w:top w:val="single" w:sz="4" w:space="0" w:color="auto"/>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40%</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66%</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37%</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knowledge of R&amp;D needs in the sector of the cluster</w:t>
            </w:r>
          </w:p>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10%</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11%</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11%</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85%</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39%</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62%</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50%</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26%</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knowledge on cluster management</w:t>
            </w:r>
          </w:p>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25%</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17%</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68%</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39%</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54%</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47%</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25%</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R&amp;D capabilities in your organisation</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24%</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11%</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18%</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52%</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13%</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33%</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7%</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61%</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knowledge on markets in project partners’ countries</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9%</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20%</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11%</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68%</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36%</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52%</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53%</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28%</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 xml:space="preserve">Enhanced </w:t>
            </w:r>
            <w:r>
              <w:rPr>
                <w:rFonts w:ascii="Times New Roman" w:eastAsia="Times New Roman" w:hAnsi="Times New Roman" w:cs="Times New Roman"/>
                <w:noProof/>
                <w:sz w:val="16"/>
                <w:szCs w:val="16"/>
                <w:lang w:eastAsia="en-GB"/>
              </w:rPr>
              <w:t>knowledge on markets in other countries</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18%</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13%</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30%</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11%</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21%</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48%</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29%</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39%</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53%</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29%</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public awareness on the benefits of research-driven clusters within your region</w:t>
            </w:r>
          </w:p>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18%</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17%</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72%</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24%</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48%</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50%</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27%</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public awareness on the benefits of research-driven clusters at national level</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18%</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12%</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13%</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24%</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55%</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18%</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37%</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50%</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28%</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reputation and image of your organisation within your region</w:t>
            </w:r>
          </w:p>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6%</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36%</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22%</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53%</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42%</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48%</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47%</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26%</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 xml:space="preserve">Enhanced reputation and image of your organisation at national level </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16%</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10%</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37%</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11%</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24%</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53%</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26%</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40%</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7%</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47%</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27%</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Enhanced reputation and image of your organisation at European level</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12%</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9%</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33%</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8%</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21%</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51%</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39%</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45%</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47%</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26%</w:t>
            </w:r>
          </w:p>
        </w:tc>
      </w:tr>
      <w:tr w:rsidR="00E535A0">
        <w:trPr>
          <w:trHeight w:val="57"/>
        </w:trPr>
        <w:tc>
          <w:tcPr>
            <w:tcW w:w="1995" w:type="pct"/>
            <w:vMerge w:val="restart"/>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Other</w:t>
            </w:r>
          </w:p>
        </w:tc>
        <w:tc>
          <w:tcPr>
            <w:tcW w:w="424"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0-1</w:t>
            </w:r>
          </w:p>
        </w:tc>
        <w:tc>
          <w:tcPr>
            <w:tcW w:w="837" w:type="pct"/>
            <w:tcBorders>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c>
          <w:tcPr>
            <w:tcW w:w="849" w:type="pct"/>
            <w:tcBorders>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w:t>
            </w:r>
          </w:p>
        </w:tc>
        <w:tc>
          <w:tcPr>
            <w:tcW w:w="895" w:type="pct"/>
            <w:tcBorders>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29%</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29%</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3-4</w:t>
            </w:r>
          </w:p>
        </w:tc>
        <w:tc>
          <w:tcPr>
            <w:tcW w:w="837" w:type="pct"/>
            <w:tcBorders>
              <w:top w:val="nil"/>
              <w:bottom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57%</w:t>
            </w:r>
          </w:p>
        </w:tc>
        <w:tc>
          <w:tcPr>
            <w:tcW w:w="849" w:type="pct"/>
            <w:tcBorders>
              <w:top w:val="nil"/>
              <w:bottom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w:t>
            </w:r>
          </w:p>
        </w:tc>
        <w:tc>
          <w:tcPr>
            <w:tcW w:w="895" w:type="pct"/>
            <w:tcBorders>
              <w:top w:val="nil"/>
              <w:bottom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57%</w:t>
            </w:r>
          </w:p>
        </w:tc>
      </w:tr>
      <w:tr w:rsidR="00E535A0">
        <w:trPr>
          <w:trHeight w:val="57"/>
        </w:trPr>
        <w:tc>
          <w:tcPr>
            <w:tcW w:w="1995" w:type="pct"/>
            <w:vMerge/>
            <w:shd w:val="clear" w:color="auto" w:fill="auto"/>
          </w:tcPr>
          <w:p w:rsidR="00E535A0" w:rsidRDefault="00E535A0">
            <w:pPr>
              <w:keepNext/>
              <w:keepLines/>
              <w:spacing w:before="20" w:after="20" w:line="240" w:lineRule="auto"/>
              <w:jc w:val="both"/>
              <w:rPr>
                <w:rFonts w:ascii="Times New Roman" w:eastAsia="Times New Roman" w:hAnsi="Times New Roman" w:cs="Times New Roman"/>
                <w:noProof/>
                <w:sz w:val="16"/>
                <w:szCs w:val="16"/>
                <w:lang w:eastAsia="en-GB"/>
              </w:rPr>
            </w:pPr>
          </w:p>
        </w:tc>
        <w:tc>
          <w:tcPr>
            <w:tcW w:w="424"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na</w:t>
            </w:r>
          </w:p>
        </w:tc>
        <w:tc>
          <w:tcPr>
            <w:tcW w:w="837" w:type="pct"/>
            <w:tcBorders>
              <w:top w:val="nil"/>
            </w:tcBorders>
            <w:shd w:val="clear" w:color="auto" w:fill="auto"/>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9%</w:t>
            </w:r>
          </w:p>
        </w:tc>
        <w:tc>
          <w:tcPr>
            <w:tcW w:w="849" w:type="pct"/>
            <w:tcBorders>
              <w:top w:val="nil"/>
            </w:tcBorders>
          </w:tcPr>
          <w:p w:rsidR="00E535A0" w:rsidRDefault="00C953F5">
            <w:pPr>
              <w:keepNext/>
              <w:keepLines/>
              <w:spacing w:before="20" w:after="20"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w:t>
            </w:r>
          </w:p>
        </w:tc>
        <w:tc>
          <w:tcPr>
            <w:tcW w:w="895" w:type="pct"/>
            <w:tcBorders>
              <w:top w:val="nil"/>
            </w:tcBorders>
            <w:vAlign w:val="bottom"/>
          </w:tcPr>
          <w:p w:rsidR="00E535A0" w:rsidRDefault="00C953F5">
            <w:pPr>
              <w:keepNext/>
              <w:keepLines/>
              <w:spacing w:line="240" w:lineRule="auto"/>
              <w:jc w:val="both"/>
              <w:rPr>
                <w:rFonts w:ascii="Times New Roman" w:eastAsia="Times New Roman" w:hAnsi="Times New Roman" w:cs="Times New Roman"/>
                <w:noProof/>
                <w:sz w:val="16"/>
                <w:szCs w:val="16"/>
                <w:lang w:eastAsia="en-GB"/>
              </w:rPr>
            </w:pPr>
            <w:r>
              <w:rPr>
                <w:rFonts w:ascii="Times New Roman" w:eastAsia="Times New Roman" w:hAnsi="Times New Roman" w:cs="Times New Roman"/>
                <w:noProof/>
                <w:sz w:val="16"/>
                <w:szCs w:val="16"/>
                <w:lang w:eastAsia="en-GB"/>
              </w:rPr>
              <w:t>9%</w:t>
            </w:r>
          </w:p>
        </w:tc>
      </w:tr>
    </w:tbl>
    <w:p w:rsidR="00E535A0" w:rsidRDefault="00C953F5">
      <w:pPr>
        <w:keepNext/>
        <w:keepLines/>
        <w:spacing w:line="240" w:lineRule="auto"/>
        <w:jc w:val="both"/>
        <w:rPr>
          <w:rFonts w:ascii="Times New Roman" w:eastAsia="Times New Roman" w:hAnsi="Times New Roman" w:cs="Times New Roman"/>
          <w:bCs/>
          <w:noProof/>
          <w:sz w:val="16"/>
          <w:szCs w:val="16"/>
          <w:lang w:eastAsia="en-GB"/>
        </w:rPr>
      </w:pPr>
      <w:r>
        <w:rPr>
          <w:rFonts w:ascii="Times New Roman" w:eastAsia="Times New Roman" w:hAnsi="Times New Roman" w:cs="Times New Roman"/>
          <w:bCs/>
          <w:noProof/>
          <w:sz w:val="16"/>
          <w:szCs w:val="16"/>
          <w:lang w:eastAsia="en-GB"/>
        </w:rPr>
        <w:t xml:space="preserve">Source: </w:t>
      </w:r>
      <w:r>
        <w:rPr>
          <w:rFonts w:ascii="Times New Roman" w:eastAsia="Times New Roman" w:hAnsi="Times New Roman" w:cs="Times New Roman"/>
          <w:bCs/>
          <w:noProof/>
          <w:sz w:val="16"/>
          <w:szCs w:val="16"/>
          <w:lang w:eastAsia="en-GB"/>
        </w:rPr>
        <w:tab/>
        <w:t>COWI and Technopolis (2010).</w:t>
      </w:r>
      <w:r>
        <w:rPr>
          <w:rFonts w:ascii="Times New Roman" w:eastAsia="Times New Roman" w:hAnsi="Times New Roman" w:cs="Times New Roman"/>
          <w:bCs/>
          <w:noProof/>
          <w:sz w:val="16"/>
          <w:szCs w:val="16"/>
          <w:lang w:eastAsia="en-GB"/>
        </w:rPr>
        <w:br/>
        <w:t>Notes:</w:t>
      </w:r>
      <w:r>
        <w:rPr>
          <w:rFonts w:ascii="Times New Roman" w:eastAsia="Times New Roman" w:hAnsi="Times New Roman" w:cs="Times New Roman"/>
          <w:bCs/>
          <w:noProof/>
          <w:sz w:val="16"/>
          <w:szCs w:val="16"/>
          <w:lang w:eastAsia="en-GB"/>
        </w:rPr>
        <w:tab/>
      </w:r>
      <w:r>
        <w:rPr>
          <w:rFonts w:ascii="Times New Roman" w:eastAsia="Times New Roman" w:hAnsi="Times New Roman" w:cs="Times New Roman"/>
          <w:bCs/>
          <w:noProof/>
          <w:sz w:val="16"/>
          <w:szCs w:val="16"/>
          <w:lang w:eastAsia="en-GB"/>
        </w:rPr>
        <w:tab/>
        <w:t xml:space="preserve">Scoring system: </w:t>
      </w:r>
      <w:r>
        <w:rPr>
          <w:rFonts w:ascii="Times New Roman" w:eastAsia="Times New Roman" w:hAnsi="Times New Roman" w:cs="Times New Roman"/>
          <w:bCs/>
          <w:i/>
          <w:noProof/>
          <w:sz w:val="16"/>
          <w:szCs w:val="16"/>
          <w:lang w:eastAsia="en-GB"/>
        </w:rPr>
        <w:t xml:space="preserve">0 = not important, 1 = less important, 2 = neutral, </w:t>
      </w:r>
      <w:r>
        <w:rPr>
          <w:rFonts w:ascii="Times New Roman" w:eastAsia="Times New Roman" w:hAnsi="Times New Roman" w:cs="Times New Roman"/>
          <w:bCs/>
          <w:i/>
          <w:noProof/>
          <w:sz w:val="16"/>
          <w:szCs w:val="16"/>
          <w:lang w:eastAsia="en-GB"/>
        </w:rPr>
        <w:br/>
      </w:r>
      <w:r>
        <w:rPr>
          <w:rFonts w:ascii="Times New Roman" w:eastAsia="Times New Roman" w:hAnsi="Times New Roman" w:cs="Times New Roman"/>
          <w:bCs/>
          <w:i/>
          <w:noProof/>
          <w:sz w:val="16"/>
          <w:szCs w:val="16"/>
          <w:lang w:eastAsia="en-GB"/>
        </w:rPr>
        <w:tab/>
      </w:r>
      <w:r>
        <w:rPr>
          <w:rFonts w:ascii="Times New Roman" w:eastAsia="Times New Roman" w:hAnsi="Times New Roman" w:cs="Times New Roman"/>
          <w:bCs/>
          <w:i/>
          <w:noProof/>
          <w:sz w:val="16"/>
          <w:szCs w:val="16"/>
          <w:lang w:eastAsia="en-GB"/>
        </w:rPr>
        <w:tab/>
        <w:t xml:space="preserve">3 = important, 4 = </w:t>
      </w:r>
      <w:r>
        <w:rPr>
          <w:rFonts w:ascii="Times New Roman" w:eastAsia="Times New Roman" w:hAnsi="Times New Roman" w:cs="Times New Roman"/>
          <w:bCs/>
          <w:i/>
          <w:noProof/>
          <w:sz w:val="16"/>
          <w:szCs w:val="16"/>
          <w:lang w:eastAsia="en-GB"/>
        </w:rPr>
        <w:t>strong importance</w:t>
      </w:r>
      <w:r>
        <w:rPr>
          <w:rFonts w:ascii="Times New Roman" w:eastAsia="Times New Roman" w:hAnsi="Times New Roman" w:cs="Times New Roman"/>
          <w:bCs/>
          <w:noProof/>
          <w:sz w:val="16"/>
          <w:szCs w:val="16"/>
          <w:lang w:eastAsia="en-GB"/>
        </w:rPr>
        <w:t>.</w:t>
      </w:r>
    </w:p>
    <w:p w:rsidR="00E535A0" w:rsidRDefault="00C953F5">
      <w:pPr>
        <w:keepNext/>
        <w:keepLines/>
        <w:spacing w:line="240" w:lineRule="auto"/>
        <w:jc w:val="both"/>
        <w:rPr>
          <w:rFonts w:ascii="Times New Roman" w:eastAsia="Times New Roman" w:hAnsi="Times New Roman" w:cs="Times New Roman"/>
          <w:i/>
          <w:noProof/>
          <w:sz w:val="16"/>
          <w:szCs w:val="16"/>
          <w:lang w:eastAsia="en-GB"/>
        </w:rPr>
      </w:pPr>
      <w:r>
        <w:rPr>
          <w:rFonts w:ascii="Times New Roman" w:eastAsia="Times New Roman" w:hAnsi="Times New Roman" w:cs="Times New Roman"/>
          <w:i/>
          <w:noProof/>
          <w:sz w:val="16"/>
          <w:szCs w:val="16"/>
          <w:lang w:eastAsia="en-GB"/>
        </w:rPr>
        <w:tab/>
      </w:r>
      <w:r>
        <w:rPr>
          <w:rFonts w:ascii="Times New Roman" w:eastAsia="Times New Roman" w:hAnsi="Times New Roman" w:cs="Times New Roman"/>
          <w:i/>
          <w:noProof/>
          <w:sz w:val="16"/>
          <w:szCs w:val="16"/>
          <w:lang w:eastAsia="en-GB"/>
        </w:rPr>
        <w:tab/>
        <w:t>*All sums which differ from 100% are due to rounding of decimals.</w:t>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br w:type="page"/>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 xml:space="preserve">13.4. </w:t>
      </w:r>
      <w:hyperlink r:id="rId61" w:history="1">
        <w:r>
          <w:rPr>
            <w:rFonts w:ascii="Times New Roman" w:eastAsiaTheme="majorEastAsia" w:hAnsi="Times New Roman" w:cs="Times New Roman"/>
            <w:b/>
            <w:bCs/>
            <w:noProof/>
            <w:sz w:val="24"/>
            <w:szCs w:val="24"/>
          </w:rPr>
          <w:t>Research Potential</w:t>
        </w:r>
      </w:hyperlink>
      <w:r>
        <w:rPr>
          <w:rFonts w:ascii="Times New Roman" w:eastAsiaTheme="majorEastAsia" w:hAnsi="Times New Roman" w:cs="Times New Roman"/>
          <w:b/>
          <w:bCs/>
          <w:noProof/>
          <w:sz w:val="24"/>
          <w:szCs w:val="24"/>
        </w:rPr>
        <w:t xml:space="preserve"> (REGPOT)</w:t>
      </w:r>
    </w:p>
    <w:p w:rsidR="00E535A0" w:rsidRDefault="00E535A0">
      <w:pPr>
        <w:autoSpaceDE w:val="0"/>
        <w:autoSpaceDN w:val="0"/>
        <w:adjustRightInd w:val="0"/>
        <w:spacing w:after="240" w:line="240" w:lineRule="auto"/>
        <w:contextualSpacing/>
        <w:jc w:val="both"/>
        <w:rPr>
          <w:rFonts w:ascii="Times New Roman" w:hAnsi="Times New Roman" w:cs="Times New Roman"/>
          <w:b/>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REGPOT contribute to the competitiveness of </w:t>
      </w:r>
      <w:r>
        <w:rPr>
          <w:rFonts w:ascii="Times New Roman" w:hAnsi="Times New Roman" w:cs="Times New Roman"/>
          <w:b/>
          <w:noProof/>
          <w:sz w:val="24"/>
          <w:szCs w:val="24"/>
        </w:rPr>
        <w:t>European industry?</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Research potential programme facilitated the unlocking and developing existing or emerging excellence of research entities in the EU's convergence and outermost regions.  </w:t>
      </w:r>
      <w:r>
        <w:rPr>
          <w:rFonts w:ascii="Times New Roman" w:eastAsiaTheme="majorEastAsia" w:hAnsi="Times New Roman" w:cs="Times New Roman"/>
          <w:bCs/>
          <w:noProof/>
          <w:sz w:val="24"/>
          <w:szCs w:val="24"/>
        </w:rPr>
        <w:t xml:space="preserve">It aimed inter alia at </w:t>
      </w:r>
      <w:r>
        <w:rPr>
          <w:rFonts w:ascii="Times New Roman" w:hAnsi="Times New Roman" w:cs="Times New Roman"/>
          <w:noProof/>
          <w:sz w:val="24"/>
          <w:szCs w:val="24"/>
        </w:rPr>
        <w:t xml:space="preserve">establishing conditions for research </w:t>
      </w:r>
      <w:r>
        <w:rPr>
          <w:rFonts w:ascii="Times New Roman" w:hAnsi="Times New Roman" w:cs="Times New Roman"/>
          <w:noProof/>
          <w:sz w:val="24"/>
          <w:szCs w:val="24"/>
        </w:rPr>
        <w:t>entities to exploit their research potential and better cooperate with private sector. Results of research should be translated into knowledge based services and state of the art products. These may be achieved only thanks to a fruitful cooperation of well</w:t>
      </w:r>
      <w:r>
        <w:rPr>
          <w:rFonts w:ascii="Times New Roman" w:hAnsi="Times New Roman" w:cs="Times New Roman"/>
          <w:noProof/>
          <w:sz w:val="24"/>
          <w:szCs w:val="24"/>
        </w:rPr>
        <w:t>-functioning and equipped research entities with the private sector. REGPOT aimed at achieving these goals and consequently contributed to entrenching competitiveness of the EU market and to realise the European Research Area (ERA).</w:t>
      </w:r>
      <w:r>
        <w:rPr>
          <w:rFonts w:ascii="Times New Roman" w:hAnsi="Times New Roman" w:cs="Times New Roman"/>
          <w:noProof/>
          <w:sz w:val="24"/>
          <w:szCs w:val="24"/>
        </w:rPr>
        <w:br/>
      </w:r>
      <w:r>
        <w:rPr>
          <w:rFonts w:ascii="Times New Roman" w:hAnsi="Times New Roman" w:cs="Times New Roman"/>
          <w:noProof/>
          <w:sz w:val="24"/>
          <w:szCs w:val="24"/>
        </w:rPr>
        <w:br/>
        <w:t>Specific projects such</w:t>
      </w:r>
      <w:r>
        <w:rPr>
          <w:rFonts w:ascii="Times New Roman" w:hAnsi="Times New Roman" w:cs="Times New Roman"/>
          <w:noProof/>
          <w:sz w:val="24"/>
          <w:szCs w:val="24"/>
        </w:rPr>
        <w:t xml:space="preserve"> as MIMOMENS has climbed up the technology transfer ladder via the establishment of Intellectual Property rights, via collaborations with industry or via participation in other FP7 projects. Several projects such as LIFTGATE and TEMP have established techn</w:t>
      </w:r>
      <w:r>
        <w:rPr>
          <w:rFonts w:ascii="Times New Roman" w:hAnsi="Times New Roman" w:cs="Times New Roman"/>
          <w:noProof/>
          <w:sz w:val="24"/>
          <w:szCs w:val="24"/>
        </w:rPr>
        <w:t xml:space="preserve">ology transfer platforms for the production of future research results. </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REGPOT contribute to increase European and international wide S&amp;T collaboration and networking for sharing R&amp;D risks and costs?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Research Potential activity strengthened an</w:t>
      </w:r>
      <w:r>
        <w:rPr>
          <w:rFonts w:ascii="Times New Roman" w:hAnsi="Times New Roman" w:cs="Times New Roman"/>
          <w:noProof/>
          <w:sz w:val="24"/>
          <w:szCs w:val="24"/>
        </w:rPr>
        <w:t>d expanded the collaboration of research groups in the cohesion regions with other EU research centres and thus contributed to Europe realising the full research potential of the enlarged Union.</w:t>
      </w:r>
      <w:r>
        <w:rPr>
          <w:rFonts w:ascii="Times New Roman" w:hAnsi="Times New Roman" w:cs="Times New Roman"/>
          <w:noProof/>
          <w:sz w:val="24"/>
          <w:szCs w:val="24"/>
          <w:vertAlign w:val="superscript"/>
        </w:rPr>
        <w:footnoteReference w:id="30"/>
      </w:r>
      <w:r>
        <w:rPr>
          <w:rFonts w:ascii="Times New Roman" w:hAnsi="Times New Roman" w:cs="Times New Roman"/>
          <w:noProof/>
          <w:sz w:val="24"/>
          <w:szCs w:val="24"/>
        </w:rPr>
        <w:t xml:space="preserve">  It increased the international recognition and leadership p</w:t>
      </w:r>
      <w:r>
        <w:rPr>
          <w:rFonts w:ascii="Times New Roman" w:hAnsi="Times New Roman" w:cs="Times New Roman"/>
          <w:noProof/>
          <w:sz w:val="24"/>
          <w:szCs w:val="24"/>
        </w:rPr>
        <w:t>otential of these regions, as well as the quality of their scientists. This should in turn lay the foundations for their long-term sustainable development, and increased their visibility, while facilitating their participation as equal partners in the EU a</w:t>
      </w:r>
      <w:r>
        <w:rPr>
          <w:rFonts w:ascii="Times New Roman" w:hAnsi="Times New Roman" w:cs="Times New Roman"/>
          <w:noProof/>
          <w:sz w:val="24"/>
          <w:szCs w:val="24"/>
        </w:rPr>
        <w:t xml:space="preserve">nd international research arenas.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REGPOT has contributed to releasing research potentials and so has led to improved research capacities/achievements</w:t>
      </w:r>
      <w:r>
        <w:rPr>
          <w:rFonts w:ascii="Times New Roman" w:hAnsi="Times New Roman" w:cs="Times New Roman"/>
          <w:noProof/>
          <w:sz w:val="24"/>
          <w:szCs w:val="24"/>
          <w:vertAlign w:val="superscript"/>
        </w:rPr>
        <w:footnoteReference w:id="31"/>
      </w:r>
      <w:r>
        <w:rPr>
          <w:rFonts w:ascii="Times New Roman" w:hAnsi="Times New Roman" w:cs="Times New Roman"/>
          <w:noProof/>
          <w:sz w:val="24"/>
          <w:szCs w:val="24"/>
        </w:rPr>
        <w:t>. The respondents for this question provided an average score of 2.37</w:t>
      </w:r>
      <w:r>
        <w:rPr>
          <w:rFonts w:ascii="Times New Roman" w:hAnsi="Times New Roman" w:cs="Times New Roman"/>
          <w:noProof/>
          <w:sz w:val="24"/>
          <w:szCs w:val="24"/>
          <w:vertAlign w:val="superscript"/>
        </w:rPr>
        <w:footnoteReference w:id="32"/>
      </w:r>
      <w:r>
        <w:rPr>
          <w:rFonts w:ascii="Times New Roman" w:hAnsi="Times New Roman" w:cs="Times New Roman"/>
          <w:noProof/>
          <w:sz w:val="24"/>
          <w:szCs w:val="24"/>
        </w:rPr>
        <w:t xml:space="preserve"> (2 = average contribution and 3 = </w:t>
      </w:r>
      <w:r>
        <w:rPr>
          <w:rFonts w:ascii="Times New Roman" w:hAnsi="Times New Roman" w:cs="Times New Roman"/>
          <w:noProof/>
          <w:sz w:val="24"/>
          <w:szCs w:val="24"/>
        </w:rPr>
        <w:t xml:space="preserve">high contribution).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rPr>
          <w:rFonts w:ascii="Times New Roman" w:hAnsi="Times New Roman" w:cs="Times New Roman"/>
          <w:b/>
          <w:bCs/>
          <w:noProof/>
          <w:sz w:val="24"/>
          <w:szCs w:val="24"/>
        </w:rPr>
      </w:pPr>
      <w:bookmarkStart w:id="14" w:name="_Ref381614836"/>
      <w:r>
        <w:rPr>
          <w:rFonts w:ascii="Times New Roman" w:hAnsi="Times New Roman" w:cs="Times New Roman"/>
          <w:b/>
          <w:bCs/>
          <w:noProof/>
          <w:sz w:val="24"/>
          <w:szCs w:val="24"/>
        </w:rPr>
        <w:br w:type="page"/>
      </w:r>
    </w:p>
    <w:p w:rsidR="00E535A0" w:rsidRDefault="00E535A0">
      <w:pPr>
        <w:autoSpaceDE w:val="0"/>
        <w:autoSpaceDN w:val="0"/>
        <w:adjustRightInd w:val="0"/>
        <w:spacing w:after="0" w:line="240" w:lineRule="auto"/>
        <w:jc w:val="both"/>
        <w:rPr>
          <w:rFonts w:ascii="Times New Roman" w:hAnsi="Times New Roman" w:cs="Times New Roman"/>
          <w:b/>
          <w:b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Table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noProof/>
          <w:sz w:val="24"/>
          <w:szCs w:val="24"/>
        </w:rPr>
        <w:fldChar w:fldCharType="end"/>
      </w:r>
      <w:bookmarkEnd w:id="14"/>
      <w:r>
        <w:rPr>
          <w:rFonts w:ascii="Times New Roman" w:hAnsi="Times New Roman" w:cs="Times New Roman"/>
          <w:b/>
          <w:bCs/>
          <w:noProof/>
          <w:sz w:val="24"/>
          <w:szCs w:val="24"/>
        </w:rPr>
        <w:t>:</w:t>
      </w:r>
      <w:r>
        <w:rPr>
          <w:rFonts w:ascii="Times New Roman" w:hAnsi="Times New Roman" w:cs="Times New Roman"/>
          <w:b/>
          <w:bCs/>
          <w:noProof/>
          <w:sz w:val="24"/>
          <w:szCs w:val="24"/>
        </w:rPr>
        <w:tab/>
        <w:t>Impact and sustainability of REGPOT project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1484"/>
        <w:gridCol w:w="1494"/>
        <w:gridCol w:w="1482"/>
      </w:tblGrid>
      <w:tr w:rsidR="00E535A0">
        <w:tc>
          <w:tcPr>
            <w:tcW w:w="4361" w:type="dxa"/>
            <w:vMerge w:val="restart"/>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Impacts</w:t>
            </w:r>
          </w:p>
        </w:tc>
        <w:tc>
          <w:tcPr>
            <w:tcW w:w="4536" w:type="dxa"/>
            <w:gridSpan w:val="3"/>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Average scores</w:t>
            </w:r>
          </w:p>
        </w:tc>
      </w:tr>
      <w:tr w:rsidR="00E535A0">
        <w:tc>
          <w:tcPr>
            <w:tcW w:w="4361" w:type="dxa"/>
            <w:vMerge/>
            <w:shd w:val="clear" w:color="auto" w:fill="auto"/>
          </w:tcPr>
          <w:p w:rsidR="00E535A0" w:rsidRDefault="00E535A0">
            <w:pPr>
              <w:autoSpaceDE w:val="0"/>
              <w:autoSpaceDN w:val="0"/>
              <w:adjustRightInd w:val="0"/>
              <w:spacing w:after="0" w:line="240" w:lineRule="auto"/>
              <w:jc w:val="both"/>
              <w:rPr>
                <w:rFonts w:ascii="Times New Roman" w:hAnsi="Times New Roman" w:cs="Times New Roman"/>
                <w:b/>
                <w:noProof/>
                <w:sz w:val="18"/>
                <w:szCs w:val="24"/>
              </w:rPr>
            </w:pPr>
          </w:p>
        </w:tc>
        <w:tc>
          <w:tcPr>
            <w:tcW w:w="1512"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Expert Group</w:t>
            </w:r>
          </w:p>
        </w:tc>
        <w:tc>
          <w:tcPr>
            <w:tcW w:w="1512" w:type="dxa"/>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Final evaluation</w:t>
            </w:r>
          </w:p>
        </w:tc>
        <w:tc>
          <w:tcPr>
            <w:tcW w:w="1512" w:type="dxa"/>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Total</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Number of patents</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0.87</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1.34</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1.11</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 xml:space="preserve">Relationship with science &amp; technology </w:t>
            </w:r>
            <w:r>
              <w:rPr>
                <w:rFonts w:ascii="Times New Roman" w:hAnsi="Times New Roman" w:cs="Times New Roman"/>
                <w:noProof/>
                <w:sz w:val="18"/>
                <w:szCs w:val="24"/>
              </w:rPr>
              <w:t>policy-makers</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1.87</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2.29</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2.08</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Links to EU Structural Funds</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i/>
                <w:noProof/>
                <w:sz w:val="18"/>
                <w:szCs w:val="24"/>
              </w:rPr>
            </w:pPr>
            <w:r>
              <w:rPr>
                <w:rFonts w:ascii="Times New Roman" w:hAnsi="Times New Roman" w:cs="Times New Roman"/>
                <w:i/>
                <w:noProof/>
                <w:sz w:val="18"/>
                <w:szCs w:val="24"/>
              </w:rPr>
              <w:t>na</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1.96</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1.96</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Integration in the European Research Area</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i/>
                <w:noProof/>
                <w:sz w:val="18"/>
                <w:szCs w:val="24"/>
              </w:rPr>
            </w:pPr>
            <w:r>
              <w:rPr>
                <w:rFonts w:ascii="Times New Roman" w:hAnsi="Times New Roman" w:cs="Times New Roman"/>
                <w:i/>
                <w:noProof/>
                <w:sz w:val="18"/>
                <w:szCs w:val="24"/>
              </w:rPr>
              <w:t>na</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2.64</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2.64</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Contribution to regional research priorities</w:t>
            </w:r>
            <w:r>
              <w:rPr>
                <w:rFonts w:ascii="Times New Roman" w:hAnsi="Times New Roman" w:cs="Times New Roman"/>
                <w:noProof/>
                <w:sz w:val="18"/>
                <w:szCs w:val="24"/>
              </w:rPr>
              <w:br/>
              <w:t>/strengths</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i/>
                <w:noProof/>
                <w:sz w:val="18"/>
                <w:szCs w:val="24"/>
              </w:rPr>
            </w:pPr>
            <w:r>
              <w:rPr>
                <w:rFonts w:ascii="Times New Roman" w:hAnsi="Times New Roman" w:cs="Times New Roman"/>
                <w:i/>
                <w:noProof/>
                <w:sz w:val="18"/>
                <w:szCs w:val="24"/>
              </w:rPr>
              <w:t>na</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2.62</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2.62</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Contribution to worldwide competitiveness and sustainable</w:t>
            </w:r>
            <w:r>
              <w:rPr>
                <w:rFonts w:ascii="Times New Roman" w:hAnsi="Times New Roman" w:cs="Times New Roman"/>
                <w:noProof/>
                <w:sz w:val="18"/>
                <w:szCs w:val="24"/>
              </w:rPr>
              <w:t xml:space="preserve"> regional growth</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2.00</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 w:val="18"/>
                <w:szCs w:val="24"/>
              </w:rPr>
            </w:pPr>
            <w:r>
              <w:rPr>
                <w:rFonts w:ascii="Times New Roman" w:hAnsi="Times New Roman" w:cs="Times New Roman"/>
                <w:noProof/>
                <w:sz w:val="18"/>
                <w:szCs w:val="24"/>
              </w:rPr>
              <w:t>2.28</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2.14</w:t>
            </w:r>
          </w:p>
        </w:tc>
      </w:tr>
      <w:tr w:rsidR="00E535A0">
        <w:tc>
          <w:tcPr>
            <w:tcW w:w="4361"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bCs/>
                <w:noProof/>
                <w:sz w:val="18"/>
                <w:szCs w:val="24"/>
              </w:rPr>
            </w:pPr>
            <w:r>
              <w:rPr>
                <w:rFonts w:ascii="Times New Roman" w:hAnsi="Times New Roman" w:cs="Times New Roman"/>
                <w:b/>
                <w:noProof/>
                <w:sz w:val="18"/>
                <w:szCs w:val="24"/>
              </w:rPr>
              <w:t>Total average scores</w:t>
            </w:r>
          </w:p>
        </w:tc>
        <w:tc>
          <w:tcPr>
            <w:tcW w:w="1512"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1.58</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2.19</w:t>
            </w:r>
          </w:p>
        </w:tc>
        <w:tc>
          <w:tcPr>
            <w:tcW w:w="1512"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 w:val="18"/>
                <w:szCs w:val="24"/>
              </w:rPr>
            </w:pPr>
            <w:r>
              <w:rPr>
                <w:rFonts w:ascii="Times New Roman" w:hAnsi="Times New Roman" w:cs="Times New Roman"/>
                <w:b/>
                <w:noProof/>
                <w:sz w:val="18"/>
                <w:szCs w:val="24"/>
              </w:rPr>
              <w:t>1.89</w:t>
            </w:r>
          </w:p>
        </w:tc>
      </w:tr>
    </w:tbl>
    <w:p w:rsidR="00E535A0" w:rsidRDefault="00C953F5">
      <w:pPr>
        <w:autoSpaceDE w:val="0"/>
        <w:autoSpaceDN w:val="0"/>
        <w:adjustRightInd w:val="0"/>
        <w:spacing w:after="0" w:line="240" w:lineRule="auto"/>
        <w:jc w:val="both"/>
        <w:rPr>
          <w:rFonts w:ascii="Times New Roman" w:hAnsi="Times New Roman" w:cs="Times New Roman"/>
          <w:noProof/>
          <w:sz w:val="20"/>
          <w:szCs w:val="24"/>
        </w:rPr>
      </w:pPr>
      <w:r>
        <w:rPr>
          <w:rFonts w:ascii="Times New Roman" w:hAnsi="Times New Roman" w:cs="Times New Roman"/>
          <w:noProof/>
          <w:sz w:val="20"/>
          <w:szCs w:val="24"/>
        </w:rPr>
        <w:t>Source:</w:t>
      </w:r>
      <w:r>
        <w:rPr>
          <w:rFonts w:ascii="Times New Roman" w:hAnsi="Times New Roman" w:cs="Times New Roman"/>
          <w:noProof/>
          <w:sz w:val="20"/>
          <w:szCs w:val="24"/>
        </w:rPr>
        <w:tab/>
      </w:r>
      <w:r>
        <w:rPr>
          <w:rFonts w:ascii="Times New Roman" w:hAnsi="Times New Roman" w:cs="Times New Roman"/>
          <w:noProof/>
          <w:sz w:val="20"/>
          <w:szCs w:val="24"/>
        </w:rPr>
        <w:tab/>
        <w:t>Expert Group (2011) and COWI.</w:t>
      </w:r>
      <w:r>
        <w:rPr>
          <w:rFonts w:ascii="Times New Roman" w:hAnsi="Times New Roman" w:cs="Times New Roman"/>
          <w:noProof/>
          <w:sz w:val="20"/>
          <w:szCs w:val="24"/>
        </w:rPr>
        <w:br/>
        <w:t>Notes:</w:t>
      </w:r>
      <w:r>
        <w:rPr>
          <w:rFonts w:ascii="Times New Roman" w:hAnsi="Times New Roman" w:cs="Times New Roman"/>
          <w:noProof/>
          <w:sz w:val="20"/>
          <w:szCs w:val="24"/>
        </w:rPr>
        <w:tab/>
      </w:r>
      <w:r>
        <w:rPr>
          <w:rFonts w:ascii="Times New Roman" w:hAnsi="Times New Roman" w:cs="Times New Roman"/>
          <w:noProof/>
          <w:sz w:val="20"/>
          <w:szCs w:val="24"/>
        </w:rPr>
        <w:tab/>
        <w:t xml:space="preserve">Scoring system: </w:t>
      </w:r>
      <w:r>
        <w:rPr>
          <w:rFonts w:ascii="Times New Roman" w:hAnsi="Times New Roman" w:cs="Times New Roman"/>
          <w:i/>
          <w:noProof/>
          <w:sz w:val="20"/>
          <w:szCs w:val="24"/>
        </w:rPr>
        <w:t xml:space="preserve">0 = no impact/no sustainability, 1 = low, 2 = average, </w:t>
      </w:r>
      <w:r>
        <w:rPr>
          <w:rFonts w:ascii="Times New Roman" w:hAnsi="Times New Roman" w:cs="Times New Roman"/>
          <w:i/>
          <w:noProof/>
          <w:sz w:val="20"/>
          <w:szCs w:val="24"/>
        </w:rPr>
        <w:br/>
      </w:r>
      <w:r>
        <w:rPr>
          <w:rFonts w:ascii="Times New Roman" w:hAnsi="Times New Roman" w:cs="Times New Roman"/>
          <w:i/>
          <w:noProof/>
          <w:sz w:val="20"/>
          <w:szCs w:val="24"/>
        </w:rPr>
        <w:tab/>
      </w:r>
      <w:r>
        <w:rPr>
          <w:rFonts w:ascii="Times New Roman" w:hAnsi="Times New Roman" w:cs="Times New Roman"/>
          <w:i/>
          <w:noProof/>
          <w:sz w:val="20"/>
          <w:szCs w:val="24"/>
        </w:rPr>
        <w:tab/>
        <w:t>3 = high</w:t>
      </w:r>
      <w:r>
        <w:rPr>
          <w:rFonts w:ascii="Times New Roman" w:hAnsi="Times New Roman" w:cs="Times New Roman"/>
          <w:noProof/>
          <w:sz w:val="20"/>
          <w:szCs w:val="24"/>
        </w:rPr>
        <w:t>.</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Additionally,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_Ref381615206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br w:type="page"/>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w:t>
      </w:r>
      <w:r>
        <w:rPr>
          <w:rFonts w:ascii="Times New Roman" w:hAnsi="Times New Roman" w:cs="Times New Roman"/>
          <w:b/>
          <w:bCs/>
          <w:noProof/>
          <w:sz w:val="24"/>
          <w:szCs w:val="24"/>
        </w:rPr>
        <w:t xml:space="preserve"> 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that on average there is only little difference in the impact and sustainability assessments in between the different research themes. However, for patents the impact is for example somewhat lower for the ICT sector than for physics and chemistry.</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w:t>
      </w:r>
      <w:r>
        <w:rPr>
          <w:rFonts w:ascii="Times New Roman" w:hAnsi="Times New Roman" w:cs="Times New Roman"/>
          <w:noProof/>
          <w:sz w:val="24"/>
          <w:szCs w:val="24"/>
        </w:rPr>
        <w:t>urthermore, several respondents provide information on continued collaboration between REGPOT project partners, but also with new partners from non-Convergence regions – hereunder regarding proposals for Horizon 2020 funding. Others state that the REGPOT a</w:t>
      </w:r>
      <w:r>
        <w:rPr>
          <w:rFonts w:ascii="Times New Roman" w:hAnsi="Times New Roman" w:cs="Times New Roman"/>
          <w:noProof/>
          <w:sz w:val="24"/>
          <w:szCs w:val="24"/>
        </w:rPr>
        <w:t>ctivities have led to the establishment of formal or informal networks that via their critical mass of expertise contribute to ensuring sustainability of the research results.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Many research actors have also experienced more individual, sustainable benefits</w:t>
      </w:r>
      <w:r>
        <w:rPr>
          <w:rFonts w:ascii="Times New Roman" w:hAnsi="Times New Roman" w:cs="Times New Roman"/>
          <w:noProof/>
          <w:sz w:val="24"/>
          <w:szCs w:val="24"/>
        </w:rPr>
        <w:t xml:space="preserve"> from REGPOT participation such as being recognised within the own organisations as centres of excellence.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a number of the respondents state that sustainability of the project results will be achieved through incorporation into commercial product</w:t>
      </w:r>
      <w:r>
        <w:rPr>
          <w:rFonts w:ascii="Times New Roman" w:hAnsi="Times New Roman" w:cs="Times New Roman"/>
          <w:noProof/>
          <w:sz w:val="24"/>
          <w:szCs w:val="24"/>
        </w:rPr>
        <w:t>s via cooperation with local enterprises, hereunder SMEs.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rPr>
          <w:rFonts w:ascii="Times New Roman" w:hAnsi="Times New Roman" w:cs="Times New Roman"/>
          <w:b/>
          <w:bCs/>
          <w:noProof/>
          <w:sz w:val="24"/>
          <w:szCs w:val="24"/>
        </w:rPr>
      </w:pPr>
      <w:bookmarkStart w:id="15" w:name="_Ref381615206"/>
      <w:r>
        <w:rPr>
          <w:rFonts w:ascii="Times New Roman" w:hAnsi="Times New Roman" w:cs="Times New Roman"/>
          <w:b/>
          <w:bCs/>
          <w:noProof/>
          <w:sz w:val="24"/>
          <w:szCs w:val="24"/>
        </w:rPr>
        <w:br w:type="page"/>
      </w:r>
    </w:p>
    <w:p w:rsidR="00E535A0" w:rsidRDefault="00C953F5">
      <w:pPr>
        <w:autoSpaceDE w:val="0"/>
        <w:autoSpaceDN w:val="0"/>
        <w:adjustRightInd w:val="0"/>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Table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2</w:t>
      </w:r>
      <w:r>
        <w:rPr>
          <w:rFonts w:ascii="Times New Roman" w:hAnsi="Times New Roman" w:cs="Times New Roman"/>
          <w:noProof/>
          <w:sz w:val="24"/>
          <w:szCs w:val="24"/>
        </w:rPr>
        <w:fldChar w:fldCharType="end"/>
      </w:r>
      <w:bookmarkEnd w:id="15"/>
      <w:r>
        <w:rPr>
          <w:rFonts w:ascii="Times New Roman" w:hAnsi="Times New Roman" w:cs="Times New Roman"/>
          <w:b/>
          <w:bCs/>
          <w:noProof/>
          <w:sz w:val="24"/>
          <w:szCs w:val="24"/>
        </w:rPr>
        <w:t>:</w:t>
      </w:r>
      <w:r>
        <w:rPr>
          <w:rFonts w:ascii="Times New Roman" w:hAnsi="Times New Roman" w:cs="Times New Roman"/>
          <w:b/>
          <w:bCs/>
          <w:noProof/>
          <w:sz w:val="24"/>
          <w:szCs w:val="24"/>
        </w:rPr>
        <w:tab/>
        <w:t>Impact and sustainability of REGPOT project results – by research theme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654"/>
        <w:gridCol w:w="655"/>
        <w:gridCol w:w="655"/>
        <w:gridCol w:w="655"/>
        <w:gridCol w:w="655"/>
        <w:gridCol w:w="654"/>
        <w:gridCol w:w="655"/>
        <w:gridCol w:w="655"/>
        <w:gridCol w:w="655"/>
        <w:gridCol w:w="655"/>
      </w:tblGrid>
      <w:tr w:rsidR="00E535A0">
        <w:tc>
          <w:tcPr>
            <w:tcW w:w="2349" w:type="dxa"/>
            <w:vMerge w:val="restart"/>
            <w:shd w:val="clear" w:color="auto" w:fill="auto"/>
            <w:vAlign w:val="bottom"/>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Contribution</w:t>
            </w:r>
          </w:p>
        </w:tc>
        <w:tc>
          <w:tcPr>
            <w:tcW w:w="6548" w:type="dxa"/>
            <w:gridSpan w:val="10"/>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Average scores</w:t>
            </w:r>
          </w:p>
        </w:tc>
      </w:tr>
      <w:tr w:rsidR="00E535A0">
        <w:trPr>
          <w:cantSplit/>
          <w:trHeight w:val="1681"/>
        </w:trPr>
        <w:tc>
          <w:tcPr>
            <w:tcW w:w="2349" w:type="dxa"/>
            <w:vMerge/>
            <w:shd w:val="clear" w:color="auto" w:fill="auto"/>
          </w:tcPr>
          <w:p w:rsidR="00E535A0" w:rsidRDefault="00E535A0">
            <w:pPr>
              <w:autoSpaceDE w:val="0"/>
              <w:autoSpaceDN w:val="0"/>
              <w:adjustRightInd w:val="0"/>
              <w:spacing w:after="0" w:line="240" w:lineRule="auto"/>
              <w:jc w:val="both"/>
              <w:rPr>
                <w:rFonts w:ascii="Times New Roman" w:hAnsi="Times New Roman" w:cs="Times New Roman"/>
                <w:b/>
                <w:noProof/>
                <w:szCs w:val="24"/>
              </w:rPr>
            </w:pPr>
          </w:p>
        </w:tc>
        <w:tc>
          <w:tcPr>
            <w:tcW w:w="654" w:type="dxa"/>
            <w:shd w:val="clear" w:color="auto" w:fill="auto"/>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Agriculture</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Biotechnology and genetics</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Energy</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Environment</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ICT</w:t>
            </w:r>
          </w:p>
        </w:tc>
        <w:tc>
          <w:tcPr>
            <w:tcW w:w="654"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Material, engineering etc.</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Medical sciences</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Physics and chemistry</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Socio-economic sciences</w:t>
            </w:r>
            <w:r>
              <w:rPr>
                <w:rFonts w:ascii="Times New Roman" w:hAnsi="Times New Roman" w:cs="Times New Roman"/>
                <w:noProof/>
                <w:szCs w:val="24"/>
                <w:vertAlign w:val="superscript"/>
              </w:rPr>
              <w:t>(1)</w:t>
            </w:r>
          </w:p>
        </w:tc>
        <w:tc>
          <w:tcPr>
            <w:tcW w:w="655" w:type="dxa"/>
            <w:textDirection w:val="btLr"/>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Total</w:t>
            </w:r>
          </w:p>
        </w:tc>
      </w:tr>
      <w:tr w:rsidR="00E535A0">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Number of patents</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1.43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1.36</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1.25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0.85</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1.67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1.35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1.75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1.34</w:t>
            </w:r>
          </w:p>
        </w:tc>
      </w:tr>
      <w:tr w:rsidR="00E535A0">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Relationship with science &amp; technology policy-makers</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2.29</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2.27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2.75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2.23</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2.33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2.35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2.17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2.29</w:t>
            </w:r>
          </w:p>
        </w:tc>
      </w:tr>
      <w:tr w:rsidR="00E535A0">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Links to EU Structural Funds</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1.57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1.82</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2.75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1.85</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2.17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1.96</w:t>
            </w:r>
          </w:p>
        </w:tc>
      </w:tr>
      <w:tr w:rsidR="00E535A0">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Integration in the European Research Area</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2.71</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2.64</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2.67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3.00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2.54</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2.83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2.53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2.67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2.64</w:t>
            </w:r>
          </w:p>
        </w:tc>
      </w:tr>
      <w:tr w:rsidR="00E535A0">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Contribution to regional research priorities</w:t>
            </w:r>
            <w:r>
              <w:rPr>
                <w:rFonts w:ascii="Times New Roman" w:hAnsi="Times New Roman" w:cs="Times New Roman"/>
                <w:noProof/>
                <w:szCs w:val="24"/>
              </w:rPr>
              <w:br/>
              <w:t>/strengths</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2.86</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2.73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3.00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2.75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2.46</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2.50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2.53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2.58</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2.62</w:t>
            </w:r>
          </w:p>
        </w:tc>
      </w:tr>
      <w:tr w:rsidR="00E535A0">
        <w:trPr>
          <w:trHeight w:val="61"/>
        </w:trPr>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Contribution to worldwide competitiveness and sustainable regional growth</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2.43</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2.18</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2.67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2.25</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2.08</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2.20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2.29</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2.42</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noProof/>
                <w:szCs w:val="24"/>
              </w:rPr>
            </w:pPr>
            <w:r>
              <w:rPr>
                <w:rFonts w:ascii="Times New Roman" w:hAnsi="Times New Roman" w:cs="Times New Roman"/>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2.28</w:t>
            </w:r>
          </w:p>
        </w:tc>
      </w:tr>
      <w:tr w:rsidR="00E535A0">
        <w:tc>
          <w:tcPr>
            <w:tcW w:w="2349" w:type="dxa"/>
            <w:shd w:val="clear" w:color="auto" w:fill="auto"/>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Total average scores</w:t>
            </w:r>
          </w:p>
        </w:tc>
        <w:tc>
          <w:tcPr>
            <w:tcW w:w="654" w:type="dxa"/>
            <w:shd w:val="clear" w:color="auto" w:fill="auto"/>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2.22</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2.17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2.22</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2.46</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2.00</w:t>
            </w:r>
          </w:p>
        </w:tc>
        <w:tc>
          <w:tcPr>
            <w:tcW w:w="654"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2.28</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2.18</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2.27</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0.00</w:t>
            </w:r>
          </w:p>
        </w:tc>
        <w:tc>
          <w:tcPr>
            <w:tcW w:w="655" w:type="dxa"/>
            <w:vAlign w:val="center"/>
          </w:tcPr>
          <w:p w:rsidR="00E535A0" w:rsidRDefault="00C953F5">
            <w:pPr>
              <w:autoSpaceDE w:val="0"/>
              <w:autoSpaceDN w:val="0"/>
              <w:adjustRightInd w:val="0"/>
              <w:spacing w:after="0" w:line="240" w:lineRule="auto"/>
              <w:jc w:val="both"/>
              <w:rPr>
                <w:rFonts w:ascii="Times New Roman" w:hAnsi="Times New Roman" w:cs="Times New Roman"/>
                <w:b/>
                <w:noProof/>
                <w:szCs w:val="24"/>
              </w:rPr>
            </w:pPr>
            <w:r>
              <w:rPr>
                <w:rFonts w:ascii="Times New Roman" w:hAnsi="Times New Roman" w:cs="Times New Roman"/>
                <w:b/>
                <w:noProof/>
                <w:szCs w:val="24"/>
              </w:rPr>
              <w:t>2.19</w:t>
            </w:r>
          </w:p>
        </w:tc>
      </w:tr>
    </w:tbl>
    <w:p w:rsidR="00E535A0" w:rsidRDefault="00C953F5">
      <w:pPr>
        <w:autoSpaceDE w:val="0"/>
        <w:autoSpaceDN w:val="0"/>
        <w:adjustRightInd w:val="0"/>
        <w:spacing w:after="0" w:line="240" w:lineRule="auto"/>
        <w:jc w:val="both"/>
        <w:rPr>
          <w:rFonts w:ascii="Times New Roman" w:hAnsi="Times New Roman" w:cs="Times New Roman"/>
          <w:noProof/>
          <w:sz w:val="20"/>
          <w:szCs w:val="24"/>
        </w:rPr>
      </w:pPr>
      <w:r>
        <w:rPr>
          <w:rFonts w:ascii="Times New Roman" w:hAnsi="Times New Roman" w:cs="Times New Roman"/>
          <w:noProof/>
          <w:sz w:val="20"/>
          <w:szCs w:val="24"/>
        </w:rPr>
        <w:t>Source:</w:t>
      </w:r>
      <w:r>
        <w:rPr>
          <w:rFonts w:ascii="Times New Roman" w:hAnsi="Times New Roman" w:cs="Times New Roman"/>
          <w:noProof/>
          <w:sz w:val="20"/>
          <w:szCs w:val="24"/>
        </w:rPr>
        <w:tab/>
      </w:r>
      <w:r>
        <w:rPr>
          <w:rFonts w:ascii="Times New Roman" w:hAnsi="Times New Roman" w:cs="Times New Roman"/>
          <w:noProof/>
          <w:sz w:val="20"/>
          <w:szCs w:val="24"/>
        </w:rPr>
        <w:tab/>
      </w:r>
      <w:r>
        <w:rPr>
          <w:rFonts w:ascii="Times New Roman" w:hAnsi="Times New Roman" w:cs="Times New Roman"/>
          <w:noProof/>
          <w:sz w:val="20"/>
          <w:szCs w:val="24"/>
        </w:rPr>
        <w:t>COWI.</w:t>
      </w:r>
      <w:r>
        <w:rPr>
          <w:rFonts w:ascii="Times New Roman" w:hAnsi="Times New Roman" w:cs="Times New Roman"/>
          <w:noProof/>
          <w:sz w:val="20"/>
          <w:szCs w:val="24"/>
        </w:rPr>
        <w:br/>
        <w:t>Notes:</w:t>
      </w:r>
      <w:r>
        <w:rPr>
          <w:rFonts w:ascii="Times New Roman" w:hAnsi="Times New Roman" w:cs="Times New Roman"/>
          <w:noProof/>
          <w:sz w:val="20"/>
          <w:szCs w:val="24"/>
        </w:rPr>
        <w:tab/>
      </w:r>
      <w:r>
        <w:rPr>
          <w:rFonts w:ascii="Times New Roman" w:hAnsi="Times New Roman" w:cs="Times New Roman"/>
          <w:noProof/>
          <w:sz w:val="20"/>
          <w:szCs w:val="24"/>
        </w:rPr>
        <w:tab/>
        <w:t xml:space="preserve">Scoring system: </w:t>
      </w:r>
      <w:r>
        <w:rPr>
          <w:rFonts w:ascii="Times New Roman" w:hAnsi="Times New Roman" w:cs="Times New Roman"/>
          <w:i/>
          <w:noProof/>
          <w:sz w:val="20"/>
          <w:szCs w:val="24"/>
        </w:rPr>
        <w:t xml:space="preserve">0 = no impact/no sustainability, 1 = low, 2 = average, </w:t>
      </w:r>
      <w:r>
        <w:rPr>
          <w:rFonts w:ascii="Times New Roman" w:hAnsi="Times New Roman" w:cs="Times New Roman"/>
          <w:i/>
          <w:noProof/>
          <w:sz w:val="20"/>
          <w:szCs w:val="24"/>
        </w:rPr>
        <w:br/>
      </w:r>
      <w:r>
        <w:rPr>
          <w:rFonts w:ascii="Times New Roman" w:hAnsi="Times New Roman" w:cs="Times New Roman"/>
          <w:i/>
          <w:noProof/>
          <w:sz w:val="20"/>
          <w:szCs w:val="24"/>
        </w:rPr>
        <w:tab/>
      </w:r>
      <w:r>
        <w:rPr>
          <w:rFonts w:ascii="Times New Roman" w:hAnsi="Times New Roman" w:cs="Times New Roman"/>
          <w:i/>
          <w:noProof/>
          <w:sz w:val="20"/>
          <w:szCs w:val="24"/>
        </w:rPr>
        <w:tab/>
        <w:t>3 = high</w:t>
      </w:r>
      <w:r>
        <w:rPr>
          <w:rFonts w:ascii="Times New Roman" w:hAnsi="Times New Roman" w:cs="Times New Roman"/>
          <w:noProof/>
          <w:sz w:val="20"/>
          <w:szCs w:val="24"/>
        </w:rPr>
        <w:t>.</w:t>
      </w:r>
    </w:p>
    <w:p w:rsidR="00E535A0" w:rsidRDefault="00C953F5">
      <w:pPr>
        <w:autoSpaceDE w:val="0"/>
        <w:autoSpaceDN w:val="0"/>
        <w:adjustRightInd w:val="0"/>
        <w:spacing w:after="0" w:line="240" w:lineRule="auto"/>
        <w:jc w:val="both"/>
        <w:rPr>
          <w:rFonts w:ascii="Times New Roman" w:hAnsi="Times New Roman" w:cs="Times New Roman"/>
          <w:noProof/>
          <w:sz w:val="20"/>
          <w:szCs w:val="24"/>
        </w:rPr>
      </w:pPr>
      <w:r>
        <w:rPr>
          <w:rFonts w:ascii="Times New Roman" w:hAnsi="Times New Roman" w:cs="Times New Roman"/>
          <w:noProof/>
          <w:sz w:val="20"/>
          <w:szCs w:val="24"/>
          <w:vertAlign w:val="superscript"/>
        </w:rPr>
        <w:tab/>
      </w:r>
      <w:r>
        <w:rPr>
          <w:rFonts w:ascii="Times New Roman" w:hAnsi="Times New Roman" w:cs="Times New Roman"/>
          <w:noProof/>
          <w:sz w:val="20"/>
          <w:szCs w:val="24"/>
          <w:vertAlign w:val="superscript"/>
        </w:rPr>
        <w:tab/>
        <w:t>(1)</w:t>
      </w:r>
      <w:r>
        <w:rPr>
          <w:rFonts w:ascii="Times New Roman" w:hAnsi="Times New Roman" w:cs="Times New Roman"/>
          <w:noProof/>
          <w:sz w:val="20"/>
          <w:szCs w:val="24"/>
        </w:rPr>
        <w:t>The answers for “socio-economic sciences” are based on one response only.</w:t>
      </w:r>
    </w:p>
    <w:p w:rsidR="00E535A0" w:rsidRDefault="00E535A0">
      <w:pPr>
        <w:autoSpaceDE w:val="0"/>
        <w:autoSpaceDN w:val="0"/>
        <w:adjustRightInd w:val="0"/>
        <w:spacing w:after="0" w:line="240" w:lineRule="auto"/>
        <w:contextualSpacing/>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REGPOT strengthen the scientific excellence of basic research in Europ</w:t>
      </w:r>
      <w:r>
        <w:rPr>
          <w:rFonts w:ascii="Times New Roman" w:hAnsi="Times New Roman" w:cs="Times New Roman"/>
          <w:b/>
          <w:noProof/>
          <w:sz w:val="24"/>
          <w:szCs w:val="24"/>
        </w:rPr>
        <w:t xml:space="preserve">e? </w:t>
      </w:r>
    </w:p>
    <w:p w:rsidR="00E535A0" w:rsidRDefault="00E535A0">
      <w:pPr>
        <w:spacing w:after="0" w:line="240" w:lineRule="auto"/>
        <w:contextualSpacing/>
        <w:jc w:val="both"/>
        <w:rPr>
          <w:rFonts w:ascii="Times New Roman" w:eastAsia="Calibri" w:hAnsi="Times New Roman" w:cs="Times New Roman"/>
          <w:noProof/>
          <w:sz w:val="24"/>
          <w:szCs w:val="24"/>
          <w:lang w:eastAsia="es-ES"/>
        </w:rPr>
      </w:pPr>
    </w:p>
    <w:p w:rsidR="00E535A0" w:rsidRDefault="00C953F5">
      <w:pPr>
        <w:spacing w:after="0" w:line="240" w:lineRule="auto"/>
        <w:contextualSpacing/>
        <w:jc w:val="both"/>
        <w:rPr>
          <w:rFonts w:ascii="Times New Roman" w:eastAsia="Calibri" w:hAnsi="Times New Roman" w:cs="Times New Roman"/>
          <w:noProof/>
          <w:sz w:val="24"/>
          <w:szCs w:val="24"/>
          <w:lang w:eastAsia="es-ES"/>
        </w:rPr>
      </w:pPr>
      <w:r>
        <w:rPr>
          <w:rFonts w:ascii="Times New Roman" w:eastAsia="Calibri" w:hAnsi="Times New Roman" w:cs="Times New Roman"/>
          <w:noProof/>
          <w:sz w:val="24"/>
          <w:szCs w:val="24"/>
          <w:lang w:eastAsia="es-ES"/>
        </w:rPr>
        <w:t xml:space="preserve">REGPOT contributed to a coherent upgraded RTD capacity and capability in several areas: </w:t>
      </w:r>
    </w:p>
    <w:p w:rsidR="00E535A0" w:rsidRDefault="00C953F5">
      <w:pPr>
        <w:spacing w:after="0" w:line="240" w:lineRule="auto"/>
        <w:contextualSpacing/>
        <w:jc w:val="both"/>
        <w:rPr>
          <w:rFonts w:ascii="Times New Roman" w:eastAsia="Calibri" w:hAnsi="Times New Roman" w:cs="Times New Roman"/>
          <w:noProof/>
          <w:sz w:val="24"/>
          <w:szCs w:val="24"/>
          <w:lang w:eastAsia="es-ES"/>
        </w:rPr>
      </w:pPr>
      <w:r>
        <w:rPr>
          <w:rFonts w:ascii="Times New Roman" w:eastAsia="Calibri" w:hAnsi="Times New Roman" w:cs="Times New Roman"/>
          <w:noProof/>
          <w:sz w:val="24"/>
          <w:szCs w:val="24"/>
          <w:lang w:eastAsia="es-ES"/>
        </w:rPr>
        <w:t xml:space="preserve">- Growth of human potential (in terms of the number of new researchers and training of research staff). </w:t>
      </w:r>
    </w:p>
    <w:p w:rsidR="00E535A0" w:rsidRDefault="00E535A0">
      <w:pPr>
        <w:spacing w:after="0" w:line="240" w:lineRule="auto"/>
        <w:contextualSpacing/>
        <w:jc w:val="both"/>
        <w:rPr>
          <w:rFonts w:ascii="Times New Roman" w:eastAsia="Calibri" w:hAnsi="Times New Roman" w:cs="Times New Roman"/>
          <w:noProof/>
          <w:sz w:val="24"/>
          <w:szCs w:val="24"/>
          <w:lang w:eastAsia="es-ES"/>
        </w:rPr>
      </w:pPr>
    </w:p>
    <w:p w:rsidR="00E535A0" w:rsidRDefault="00C953F5">
      <w:pPr>
        <w:spacing w:after="0" w:line="240" w:lineRule="auto"/>
        <w:contextualSpacing/>
        <w:jc w:val="both"/>
        <w:rPr>
          <w:rFonts w:ascii="Times New Roman" w:eastAsia="Calibri" w:hAnsi="Times New Roman" w:cs="Times New Roman"/>
          <w:noProof/>
          <w:sz w:val="24"/>
          <w:szCs w:val="24"/>
          <w:lang w:eastAsia="es-ES"/>
        </w:rPr>
      </w:pPr>
      <w:r>
        <w:rPr>
          <w:rFonts w:ascii="Times New Roman" w:eastAsia="Calibri" w:hAnsi="Times New Roman" w:cs="Times New Roman"/>
          <w:noProof/>
          <w:sz w:val="24"/>
          <w:szCs w:val="24"/>
          <w:lang w:eastAsia="es-ES"/>
        </w:rPr>
        <w:t xml:space="preserve">- Improvement of scientific experiments and measurements (based on the use of new equipment to support advanced research), as well as </w:t>
      </w:r>
    </w:p>
    <w:p w:rsidR="00E535A0" w:rsidRDefault="00E535A0">
      <w:pPr>
        <w:spacing w:after="0" w:line="240" w:lineRule="auto"/>
        <w:contextualSpacing/>
        <w:jc w:val="both"/>
        <w:rPr>
          <w:rFonts w:ascii="Times New Roman" w:eastAsia="Calibri" w:hAnsi="Times New Roman" w:cs="Times New Roman"/>
          <w:noProof/>
          <w:sz w:val="24"/>
          <w:szCs w:val="24"/>
          <w:lang w:eastAsia="es-ES"/>
        </w:rPr>
      </w:pPr>
    </w:p>
    <w:p w:rsidR="00E535A0" w:rsidRDefault="00C953F5">
      <w:pPr>
        <w:spacing w:after="0" w:line="240" w:lineRule="auto"/>
        <w:contextualSpacing/>
        <w:jc w:val="both"/>
        <w:rPr>
          <w:rFonts w:ascii="Times New Roman" w:eastAsia="Calibri" w:hAnsi="Times New Roman" w:cs="Times New Roman"/>
          <w:noProof/>
          <w:sz w:val="24"/>
          <w:szCs w:val="24"/>
          <w:lang w:eastAsia="es-ES"/>
        </w:rPr>
      </w:pPr>
      <w:r>
        <w:rPr>
          <w:rFonts w:ascii="Times New Roman" w:eastAsia="Calibri" w:hAnsi="Times New Roman" w:cs="Times New Roman"/>
          <w:noProof/>
          <w:sz w:val="24"/>
          <w:szCs w:val="24"/>
          <w:lang w:eastAsia="es-ES"/>
        </w:rPr>
        <w:t>- The increase of the quality of research carried out by the selected research entities. This impact was easily observed</w:t>
      </w:r>
      <w:r>
        <w:rPr>
          <w:rFonts w:ascii="Times New Roman" w:eastAsia="Calibri" w:hAnsi="Times New Roman" w:cs="Times New Roman"/>
          <w:noProof/>
          <w:sz w:val="24"/>
          <w:szCs w:val="24"/>
          <w:lang w:eastAsia="es-ES"/>
        </w:rPr>
        <w:t xml:space="preserve"> in all analysed projects. The Expert Group confirmed that this was </w:t>
      </w:r>
      <w:r>
        <w:rPr>
          <w:rFonts w:ascii="Times New Roman" w:eastAsia="Times New Roman" w:hAnsi="Times New Roman" w:cs="Times New Roman"/>
          <w:noProof/>
          <w:sz w:val="24"/>
          <w:szCs w:val="24"/>
          <w:lang w:eastAsia="es-ES"/>
        </w:rPr>
        <w:t xml:space="preserve">one of the main outcomes of </w:t>
      </w:r>
      <w:r>
        <w:rPr>
          <w:rFonts w:ascii="Times New Roman" w:eastAsia="Calibri" w:hAnsi="Times New Roman" w:cs="Times New Roman"/>
          <w:noProof/>
          <w:sz w:val="24"/>
          <w:szCs w:val="24"/>
          <w:lang w:eastAsia="es-ES"/>
        </w:rPr>
        <w:t xml:space="preserve">the “Research Potential” Activity. </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Moreover, REGPOT has entrenched the European basic research by enhancing capacities of research entities in many areas such</w:t>
      </w:r>
      <w:r>
        <w:rPr>
          <w:rFonts w:ascii="Times New Roman" w:eastAsia="Calibri" w:hAnsi="Times New Roman" w:cs="Times New Roman"/>
          <w:noProof/>
          <w:sz w:val="24"/>
          <w:szCs w:val="24"/>
        </w:rPr>
        <w:t xml:space="preserve"> as: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Agriculture</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Biotechnology and genetics</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Energy</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Environment </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Information and Communication Technologies (ICT) </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Material, engineering, space and transport</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Medical sciences</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Physics and chemistry</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Socio-economic sciences etc</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REGPOT has contributed to the d</w:t>
      </w:r>
      <w:r>
        <w:rPr>
          <w:rFonts w:ascii="Times New Roman" w:hAnsi="Times New Roman" w:cs="Times New Roman"/>
          <w:noProof/>
          <w:sz w:val="24"/>
          <w:szCs w:val="24"/>
        </w:rPr>
        <w:t>evelopment of Centres of Excellence within very specific and advance research areas in convergence regions in Europe.</w:t>
      </w: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REGPOT promote the development of European research careers and to make Europe more attractive to the best researchers?</w:t>
      </w:r>
    </w:p>
    <w:p w:rsidR="00E535A0" w:rsidRDefault="00E535A0">
      <w:pPr>
        <w:autoSpaceDE w:val="0"/>
        <w:autoSpaceDN w:val="0"/>
        <w:adjustRightInd w:val="0"/>
        <w:spacing w:after="0" w:line="240" w:lineRule="auto"/>
        <w:ind w:left="720"/>
        <w:contextualSpacing/>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Research Potential activity contributed to enhance exchange and mobility of staff, along with support in terms of equipment helped to overcome financial barriers such as lack of national and, in particular, regional funding and resources to hire high-level</w:t>
      </w:r>
      <w:r>
        <w:rPr>
          <w:rFonts w:ascii="Times New Roman" w:hAnsi="Times New Roman" w:cs="Times New Roman"/>
          <w:noProof/>
          <w:sz w:val="24"/>
          <w:szCs w:val="24"/>
        </w:rPr>
        <w:t xml:space="preserve"> staff.</w:t>
      </w:r>
    </w:p>
    <w:p w:rsidR="00E535A0" w:rsidRDefault="00E535A0">
      <w:pPr>
        <w:autoSpaceDE w:val="0"/>
        <w:autoSpaceDN w:val="0"/>
        <w:adjustRightInd w:val="0"/>
        <w:spacing w:after="0" w:line="240" w:lineRule="auto"/>
        <w:jc w:val="both"/>
        <w:rPr>
          <w:rFonts w:ascii="Times New Roman" w:hAnsi="Times New Roman" w:cs="Times New Roman"/>
          <w:noProof/>
          <w:sz w:val="24"/>
          <w:szCs w:val="24"/>
          <w:highlight w:val="yellow"/>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research potential activity also filled the financial gap so as to unlock and develop existing and emerging research excellence in the convergence and outermost regions</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rPr>
        <w:t xml:space="preserve"> and thus contributed to strengthening the EU knowledge base.</w:t>
      </w:r>
      <w:r>
        <w:rPr>
          <w:rFonts w:ascii="Times New Roman" w:hAnsi="Times New Roman" w:cs="Times New Roman"/>
          <w:noProof/>
          <w:sz w:val="24"/>
          <w:szCs w:val="24"/>
          <w:vertAlign w:val="superscript"/>
        </w:rPr>
        <w:footnoteReference w:id="34"/>
      </w:r>
    </w:p>
    <w:p w:rsidR="00E535A0" w:rsidRDefault="00E535A0">
      <w:pPr>
        <w:spacing w:line="240" w:lineRule="auto"/>
        <w:jc w:val="both"/>
        <w:rPr>
          <w:rFonts w:ascii="Times New Roman" w:eastAsia="Times New Roman" w:hAnsi="Times New Roman" w:cs="Times New Roman"/>
          <w:noProof/>
          <w:sz w:val="24"/>
          <w:szCs w:val="24"/>
          <w:lang w:eastAsia="en-GB"/>
        </w:rPr>
      </w:pP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findin</w:t>
      </w:r>
      <w:r>
        <w:rPr>
          <w:rFonts w:ascii="Times New Roman" w:eastAsia="Times New Roman" w:hAnsi="Times New Roman" w:cs="Times New Roman"/>
          <w:noProof/>
          <w:sz w:val="24"/>
          <w:szCs w:val="24"/>
          <w:lang w:eastAsia="en-GB"/>
        </w:rPr>
        <w:t>gs from the Final Evaluation’s (COWI, 2014) questionnaire survey confirm the assessment that REGPOT has contributed to releasing research potentials and so has led to improved research capacities/achievements..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REGPOT has in particular contributed to the e</w:t>
      </w:r>
      <w:r>
        <w:rPr>
          <w:rFonts w:ascii="Times New Roman" w:hAnsi="Times New Roman" w:cs="Times New Roman"/>
          <w:noProof/>
          <w:sz w:val="24"/>
          <w:szCs w:val="24"/>
        </w:rPr>
        <w:t>mployment of highly-qualified and experienced researchers which is much in tune with the REGPOT aim of reducing brain drain in the EU’s Convergence and Outermost regions. Furthermore, REGPOT’s contribution to the development of research policies and strate</w:t>
      </w:r>
      <w:r>
        <w:rPr>
          <w:rFonts w:ascii="Times New Roman" w:hAnsi="Times New Roman" w:cs="Times New Roman"/>
          <w:noProof/>
          <w:sz w:val="24"/>
          <w:szCs w:val="24"/>
        </w:rPr>
        <w:t>gies in the mid-term indicates that REGPOT has released resources which enable the research actors to see beyond the daily challenges, which is necessary in order to enter the ERA and to establish links to Smart Specialisation strategies.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rsidR="00E535A0" w:rsidRDefault="00C953F5">
      <w:pPr>
        <w:autoSpaceDE w:val="0"/>
        <w:autoSpaceDN w:val="0"/>
        <w:adjustRightInd w:val="0"/>
        <w:spacing w:after="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 xml:space="preserve">Table </w:t>
      </w:r>
      <w:r>
        <w:rPr>
          <w:rFonts w:ascii="Times New Roman" w:eastAsia="Times New Roman" w:hAnsi="Times New Roman" w:cs="Times New Roman"/>
          <w:b/>
          <w:bCs/>
          <w:noProof/>
          <w:sz w:val="24"/>
          <w:szCs w:val="24"/>
          <w:lang w:eastAsia="en-GB"/>
        </w:rPr>
        <w:fldChar w:fldCharType="begin"/>
      </w:r>
      <w:r>
        <w:rPr>
          <w:rFonts w:ascii="Times New Roman" w:eastAsia="Times New Roman" w:hAnsi="Times New Roman" w:cs="Times New Roman"/>
          <w:b/>
          <w:bCs/>
          <w:noProof/>
          <w:sz w:val="24"/>
          <w:szCs w:val="24"/>
          <w:lang w:eastAsia="en-GB"/>
        </w:rPr>
        <w:instrText xml:space="preserve"> SEQ Tab</w:instrText>
      </w:r>
      <w:r>
        <w:rPr>
          <w:rFonts w:ascii="Times New Roman" w:eastAsia="Times New Roman" w:hAnsi="Times New Roman" w:cs="Times New Roman"/>
          <w:b/>
          <w:bCs/>
          <w:noProof/>
          <w:sz w:val="24"/>
          <w:szCs w:val="24"/>
          <w:lang w:eastAsia="en-GB"/>
        </w:rPr>
        <w:instrText xml:space="preserve">le \* ARABIC </w:instrText>
      </w:r>
      <w:r>
        <w:rPr>
          <w:rFonts w:ascii="Times New Roman" w:eastAsia="Times New Roman" w:hAnsi="Times New Roman" w:cs="Times New Roman"/>
          <w:b/>
          <w:bCs/>
          <w:noProof/>
          <w:sz w:val="24"/>
          <w:szCs w:val="24"/>
          <w:lang w:eastAsia="en-GB"/>
        </w:rPr>
        <w:fldChar w:fldCharType="separate"/>
      </w:r>
      <w:r>
        <w:rPr>
          <w:rFonts w:ascii="Times New Roman" w:eastAsia="Times New Roman" w:hAnsi="Times New Roman" w:cs="Times New Roman"/>
          <w:b/>
          <w:bCs/>
          <w:noProof/>
          <w:sz w:val="24"/>
          <w:szCs w:val="24"/>
          <w:lang w:eastAsia="en-GB"/>
        </w:rPr>
        <w:t>3</w:t>
      </w:r>
      <w:r>
        <w:rPr>
          <w:rFonts w:ascii="Times New Roman" w:eastAsia="Times New Roman" w:hAnsi="Times New Roman" w:cs="Times New Roman"/>
          <w:b/>
          <w:bCs/>
          <w:noProof/>
          <w:sz w:val="24"/>
          <w:szCs w:val="24"/>
          <w:lang w:eastAsia="en-GB"/>
        </w:rPr>
        <w:fldChar w:fldCharType="end"/>
      </w:r>
      <w:r>
        <w:rPr>
          <w:rFonts w:ascii="Times New Roman" w:eastAsia="Times New Roman" w:hAnsi="Times New Roman" w:cs="Times New Roman"/>
          <w:b/>
          <w:bCs/>
          <w:noProof/>
          <w:sz w:val="24"/>
          <w:szCs w:val="24"/>
          <w:lang w:eastAsia="en-GB"/>
        </w:rPr>
        <w:t>:</w:t>
      </w:r>
      <w:r>
        <w:rPr>
          <w:rFonts w:ascii="Times New Roman" w:eastAsia="Times New Roman" w:hAnsi="Times New Roman" w:cs="Times New Roman"/>
          <w:b/>
          <w:bCs/>
          <w:noProof/>
          <w:sz w:val="24"/>
          <w:szCs w:val="24"/>
          <w:lang w:eastAsia="en-GB"/>
        </w:rPr>
        <w:tab/>
        <w:t>Contribution from REGPOT to research capacities/achievements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1485"/>
        <w:gridCol w:w="1498"/>
        <w:gridCol w:w="1482"/>
      </w:tblGrid>
      <w:tr w:rsidR="00E535A0">
        <w:tc>
          <w:tcPr>
            <w:tcW w:w="4361" w:type="dxa"/>
            <w:vMerge w:val="restart"/>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Contributions</w:t>
            </w:r>
          </w:p>
        </w:tc>
        <w:tc>
          <w:tcPr>
            <w:tcW w:w="4536" w:type="dxa"/>
            <w:gridSpan w:val="3"/>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Average scores</w:t>
            </w:r>
          </w:p>
        </w:tc>
      </w:tr>
      <w:tr w:rsidR="00E535A0">
        <w:tc>
          <w:tcPr>
            <w:tcW w:w="4361" w:type="dxa"/>
            <w:vMerge/>
            <w:shd w:val="clear" w:color="auto" w:fill="auto"/>
          </w:tcPr>
          <w:p w:rsidR="00E535A0" w:rsidRDefault="00E535A0">
            <w:pPr>
              <w:keepNext/>
              <w:keepLines/>
              <w:spacing w:before="40" w:after="40" w:line="240" w:lineRule="auto"/>
              <w:jc w:val="both"/>
              <w:rPr>
                <w:rFonts w:ascii="Times New Roman" w:eastAsia="Times New Roman" w:hAnsi="Times New Roman" w:cs="Times New Roman"/>
                <w:b/>
                <w:noProof/>
                <w:szCs w:val="24"/>
                <w:lang w:eastAsia="en-GB"/>
              </w:rPr>
            </w:pP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Expert Group</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Final evaluation</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Total</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Number of employed researchers (particularly highly-qualified and experienced)</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i/>
                <w:noProof/>
                <w:szCs w:val="24"/>
                <w:lang w:eastAsia="en-GB"/>
              </w:rPr>
            </w:pPr>
            <w:r>
              <w:rPr>
                <w:rFonts w:ascii="Times New Roman" w:eastAsia="Times New Roman" w:hAnsi="Times New Roman" w:cs="Times New Roman"/>
                <w:i/>
                <w:noProof/>
                <w:szCs w:val="24"/>
                <w:lang w:eastAsia="en-GB"/>
              </w:rPr>
              <w:t>na</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2.75</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2.75</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 xml:space="preserve">Publication </w:t>
            </w:r>
            <w:r>
              <w:rPr>
                <w:rFonts w:ascii="Times New Roman" w:eastAsia="Times New Roman" w:hAnsi="Times New Roman" w:cs="Times New Roman"/>
                <w:noProof/>
                <w:szCs w:val="24"/>
                <w:lang w:eastAsia="en-GB"/>
              </w:rPr>
              <w:t>record (particularly in peer-reviewed journals)</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2.50</w:t>
            </w:r>
          </w:p>
          <w:p w:rsidR="00E535A0" w:rsidRDefault="00E535A0">
            <w:pPr>
              <w:keepNext/>
              <w:keepLines/>
              <w:spacing w:before="40" w:after="40" w:line="240" w:lineRule="auto"/>
              <w:jc w:val="both"/>
              <w:rPr>
                <w:rFonts w:ascii="Times New Roman" w:eastAsia="Times New Roman" w:hAnsi="Times New Roman" w:cs="Times New Roman"/>
                <w:noProof/>
                <w:szCs w:val="24"/>
                <w:lang w:eastAsia="en-GB"/>
              </w:rPr>
            </w:pP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2.34</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2.42</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Participation in conferences</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i/>
                <w:noProof/>
                <w:szCs w:val="24"/>
                <w:lang w:eastAsia="en-GB"/>
              </w:rPr>
            </w:pPr>
            <w:r>
              <w:rPr>
                <w:rFonts w:ascii="Times New Roman" w:eastAsia="Times New Roman" w:hAnsi="Times New Roman" w:cs="Times New Roman"/>
                <w:i/>
                <w:noProof/>
                <w:szCs w:val="24"/>
                <w:lang w:eastAsia="en-GB"/>
              </w:rPr>
              <w:t>na</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2.56</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2.56</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Participation in other EU FP7 activities (proposals submitted, funding obtained etc.)</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2.75</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2.34</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2.54</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 xml:space="preserve">Participation in other national and </w:t>
            </w:r>
            <w:r>
              <w:rPr>
                <w:rFonts w:ascii="Times New Roman" w:eastAsia="Times New Roman" w:hAnsi="Times New Roman" w:cs="Times New Roman"/>
                <w:noProof/>
                <w:szCs w:val="24"/>
                <w:lang w:eastAsia="en-GB"/>
              </w:rPr>
              <w:t>international programmes</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2.62</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2.38</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2.50</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Participation in international research networks</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i/>
                <w:noProof/>
                <w:szCs w:val="24"/>
                <w:lang w:eastAsia="en-GB"/>
              </w:rPr>
            </w:pPr>
            <w:r>
              <w:rPr>
                <w:rFonts w:ascii="Times New Roman" w:eastAsia="Times New Roman" w:hAnsi="Times New Roman" w:cs="Times New Roman"/>
                <w:i/>
                <w:noProof/>
                <w:szCs w:val="24"/>
                <w:lang w:eastAsia="en-GB"/>
              </w:rPr>
              <w:t>na</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2.49</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2.49</w:t>
            </w:r>
          </w:p>
        </w:tc>
      </w:tr>
      <w:tr w:rsidR="00E535A0">
        <w:trPr>
          <w:trHeight w:val="61"/>
        </w:trPr>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Cooperation with end-users (including SMEs) and other stakeholders</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2.87</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2.14</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2.50</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Own research policy and strategy in the mid-term</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2.37</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2.77</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2.57</w:t>
            </w:r>
          </w:p>
        </w:tc>
      </w:tr>
      <w:tr w:rsidR="00E535A0">
        <w:tc>
          <w:tcPr>
            <w:tcW w:w="4361"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b/>
                <w:bCs/>
                <w:noProof/>
                <w:szCs w:val="24"/>
                <w:lang w:eastAsia="en-GB"/>
              </w:rPr>
            </w:pPr>
            <w:r>
              <w:rPr>
                <w:rFonts w:ascii="Times New Roman" w:eastAsia="Times New Roman" w:hAnsi="Times New Roman" w:cs="Times New Roman"/>
                <w:b/>
                <w:noProof/>
                <w:szCs w:val="24"/>
                <w:lang w:eastAsia="en-GB"/>
              </w:rPr>
              <w:t>Total average scores</w:t>
            </w:r>
          </w:p>
        </w:tc>
        <w:tc>
          <w:tcPr>
            <w:tcW w:w="1512"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2.62</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2.13</w:t>
            </w:r>
          </w:p>
        </w:tc>
        <w:tc>
          <w:tcPr>
            <w:tcW w:w="1512" w:type="dxa"/>
          </w:tcPr>
          <w:p w:rsidR="00E535A0" w:rsidRDefault="00C953F5">
            <w:pPr>
              <w:keepNext/>
              <w:keepLines/>
              <w:spacing w:before="40" w:after="40" w:line="240" w:lineRule="auto"/>
              <w:jc w:val="both"/>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2.37</w:t>
            </w:r>
          </w:p>
        </w:tc>
      </w:tr>
    </w:tbl>
    <w:p w:rsidR="00E535A0" w:rsidRDefault="00C953F5">
      <w:pPr>
        <w:keepNext/>
        <w:keepLines/>
        <w:spacing w:after="0" w:line="240" w:lineRule="auto"/>
        <w:jc w:val="both"/>
        <w:rPr>
          <w:rFonts w:ascii="Times New Roman" w:eastAsia="Times New Roman" w:hAnsi="Times New Roman" w:cs="Times New Roman"/>
          <w:noProof/>
          <w:sz w:val="20"/>
          <w:szCs w:val="24"/>
          <w:lang w:eastAsia="en-GB"/>
        </w:rPr>
      </w:pPr>
      <w:r>
        <w:rPr>
          <w:rFonts w:ascii="Times New Roman" w:eastAsia="Times New Roman" w:hAnsi="Times New Roman" w:cs="Times New Roman"/>
          <w:noProof/>
          <w:sz w:val="20"/>
          <w:szCs w:val="24"/>
          <w:lang w:eastAsia="en-GB"/>
        </w:rPr>
        <w:t>Source:</w:t>
      </w:r>
      <w:r>
        <w:rPr>
          <w:rFonts w:ascii="Times New Roman" w:eastAsia="Times New Roman" w:hAnsi="Times New Roman" w:cs="Times New Roman"/>
          <w:noProof/>
          <w:sz w:val="20"/>
          <w:szCs w:val="24"/>
          <w:lang w:eastAsia="en-GB"/>
        </w:rPr>
        <w:tab/>
      </w:r>
      <w:r>
        <w:rPr>
          <w:rFonts w:ascii="Times New Roman" w:eastAsia="Times New Roman" w:hAnsi="Times New Roman" w:cs="Times New Roman"/>
          <w:noProof/>
          <w:sz w:val="20"/>
          <w:szCs w:val="24"/>
          <w:lang w:eastAsia="en-GB"/>
        </w:rPr>
        <w:tab/>
        <w:t>Expert Group (2011) and COWI.</w:t>
      </w:r>
      <w:r>
        <w:rPr>
          <w:rFonts w:ascii="Times New Roman" w:eastAsia="Times New Roman" w:hAnsi="Times New Roman" w:cs="Times New Roman"/>
          <w:noProof/>
          <w:sz w:val="20"/>
          <w:szCs w:val="24"/>
          <w:lang w:eastAsia="en-GB"/>
        </w:rPr>
        <w:br/>
        <w:t>Notes:</w:t>
      </w:r>
      <w:r>
        <w:rPr>
          <w:rFonts w:ascii="Times New Roman" w:eastAsia="Times New Roman" w:hAnsi="Times New Roman" w:cs="Times New Roman"/>
          <w:noProof/>
          <w:sz w:val="20"/>
          <w:szCs w:val="24"/>
          <w:lang w:eastAsia="en-GB"/>
        </w:rPr>
        <w:tab/>
      </w:r>
      <w:r>
        <w:rPr>
          <w:rFonts w:ascii="Times New Roman" w:eastAsia="Times New Roman" w:hAnsi="Times New Roman" w:cs="Times New Roman"/>
          <w:noProof/>
          <w:sz w:val="20"/>
          <w:szCs w:val="24"/>
          <w:lang w:eastAsia="en-GB"/>
        </w:rPr>
        <w:tab/>
        <w:t xml:space="preserve">Scoring system: </w:t>
      </w:r>
      <w:r>
        <w:rPr>
          <w:rFonts w:ascii="Times New Roman" w:eastAsia="Times New Roman" w:hAnsi="Times New Roman" w:cs="Times New Roman"/>
          <w:i/>
          <w:noProof/>
          <w:sz w:val="20"/>
          <w:szCs w:val="24"/>
          <w:lang w:eastAsia="en-GB"/>
        </w:rPr>
        <w:t>0 = no contribution, 1 = low, 2 = average, 3 = high</w:t>
      </w:r>
      <w:r>
        <w:rPr>
          <w:rFonts w:ascii="Times New Roman" w:eastAsia="Times New Roman" w:hAnsi="Times New Roman" w:cs="Times New Roman"/>
          <w:noProof/>
          <w:sz w:val="20"/>
          <w:szCs w:val="24"/>
          <w:lang w:eastAsia="en-GB"/>
        </w:rPr>
        <w:t>.</w:t>
      </w:r>
    </w:p>
    <w:p w:rsidR="00E535A0" w:rsidRDefault="00E535A0">
      <w:pPr>
        <w:spacing w:line="240" w:lineRule="auto"/>
        <w:jc w:val="both"/>
        <w:rPr>
          <w:rFonts w:ascii="Times New Roman" w:eastAsia="Times New Roman" w:hAnsi="Times New Roman" w:cs="Times New Roman"/>
          <w:noProof/>
          <w:sz w:val="20"/>
          <w:szCs w:val="24"/>
          <w:lang w:eastAsia="en-GB"/>
        </w:rPr>
      </w:pPr>
    </w:p>
    <w:p w:rsidR="00E535A0" w:rsidRDefault="00C953F5">
      <w:pPr>
        <w:spacing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noProof/>
          <w:sz w:val="24"/>
          <w:szCs w:val="24"/>
          <w:lang w:eastAsia="en-GB"/>
        </w:rPr>
        <w:t xml:space="preserve">The survey shows further that that REGPOT has contributed significantly within all research themes – </w:t>
      </w:r>
      <w:r>
        <w:rPr>
          <w:rFonts w:ascii="Times New Roman" w:eastAsia="Times New Roman" w:hAnsi="Times New Roman" w:cs="Times New Roman"/>
          <w:noProof/>
          <w:sz w:val="24"/>
          <w:szCs w:val="24"/>
          <w:lang w:eastAsia="en-GB"/>
        </w:rPr>
        <w:t>most for agriculture and least for ICTs.</w:t>
      </w:r>
      <w:r>
        <w:rPr>
          <w:rFonts w:ascii="Times New Roman" w:eastAsia="Times New Roman" w:hAnsi="Times New Roman" w:cs="Times New Roman"/>
          <w:b/>
          <w:bCs/>
          <w:noProof/>
          <w:sz w:val="24"/>
          <w:szCs w:val="24"/>
          <w:lang w:eastAsia="en-GB"/>
        </w:rPr>
        <w:t xml:space="preserve"> </w:t>
      </w:r>
    </w:p>
    <w:p w:rsidR="00E535A0" w:rsidRDefault="00C953F5">
      <w:pPr>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br w:type="page"/>
      </w:r>
    </w:p>
    <w:p w:rsidR="00E535A0" w:rsidRDefault="00C953F5">
      <w:pPr>
        <w:spacing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 xml:space="preserve">Table </w:t>
      </w:r>
      <w:r>
        <w:rPr>
          <w:rFonts w:ascii="Times New Roman" w:eastAsia="Times New Roman" w:hAnsi="Times New Roman" w:cs="Times New Roman"/>
          <w:b/>
          <w:bCs/>
          <w:noProof/>
          <w:sz w:val="24"/>
          <w:szCs w:val="24"/>
          <w:lang w:eastAsia="en-GB"/>
        </w:rPr>
        <w:fldChar w:fldCharType="begin"/>
      </w:r>
      <w:r>
        <w:rPr>
          <w:rFonts w:ascii="Times New Roman" w:eastAsia="Times New Roman" w:hAnsi="Times New Roman" w:cs="Times New Roman"/>
          <w:b/>
          <w:bCs/>
          <w:noProof/>
          <w:sz w:val="24"/>
          <w:szCs w:val="24"/>
          <w:lang w:eastAsia="en-GB"/>
        </w:rPr>
        <w:instrText xml:space="preserve"> SEQ Table \* ARABIC </w:instrText>
      </w:r>
      <w:r>
        <w:rPr>
          <w:rFonts w:ascii="Times New Roman" w:eastAsia="Times New Roman" w:hAnsi="Times New Roman" w:cs="Times New Roman"/>
          <w:b/>
          <w:bCs/>
          <w:noProof/>
          <w:sz w:val="24"/>
          <w:szCs w:val="24"/>
          <w:lang w:eastAsia="en-GB"/>
        </w:rPr>
        <w:fldChar w:fldCharType="separate"/>
      </w:r>
      <w:r>
        <w:rPr>
          <w:rFonts w:ascii="Times New Roman" w:eastAsia="Times New Roman" w:hAnsi="Times New Roman" w:cs="Times New Roman"/>
          <w:b/>
          <w:bCs/>
          <w:noProof/>
          <w:sz w:val="24"/>
          <w:szCs w:val="24"/>
          <w:lang w:eastAsia="en-GB"/>
        </w:rPr>
        <w:t>4</w:t>
      </w:r>
      <w:r>
        <w:rPr>
          <w:rFonts w:ascii="Times New Roman" w:eastAsia="Times New Roman" w:hAnsi="Times New Roman" w:cs="Times New Roman"/>
          <w:b/>
          <w:bCs/>
          <w:noProof/>
          <w:sz w:val="24"/>
          <w:szCs w:val="24"/>
          <w:lang w:eastAsia="en-GB"/>
        </w:rPr>
        <w:fldChar w:fldCharType="end"/>
      </w:r>
      <w:r>
        <w:rPr>
          <w:rFonts w:ascii="Times New Roman" w:eastAsia="Times New Roman" w:hAnsi="Times New Roman" w:cs="Times New Roman"/>
          <w:b/>
          <w:bCs/>
          <w:noProof/>
          <w:sz w:val="24"/>
          <w:szCs w:val="24"/>
          <w:lang w:eastAsia="en-GB"/>
        </w:rPr>
        <w:t>:</w:t>
      </w:r>
      <w:r>
        <w:rPr>
          <w:rFonts w:ascii="Times New Roman" w:eastAsia="Times New Roman" w:hAnsi="Times New Roman" w:cs="Times New Roman"/>
          <w:b/>
          <w:bCs/>
          <w:noProof/>
          <w:sz w:val="24"/>
          <w:szCs w:val="24"/>
          <w:lang w:eastAsia="en-GB"/>
        </w:rPr>
        <w:tab/>
        <w:t>Contribution from REGPOT to research capacities/achievements – by research theme</w:t>
      </w:r>
    </w:p>
    <w:tbl>
      <w:tblPr>
        <w:tblpPr w:leftFromText="180" w:rightFromText="180" w:vertAnchor="text" w:horzAnchor="margin" w:tblpY="6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654"/>
        <w:gridCol w:w="655"/>
        <w:gridCol w:w="655"/>
        <w:gridCol w:w="655"/>
        <w:gridCol w:w="655"/>
        <w:gridCol w:w="654"/>
        <w:gridCol w:w="655"/>
        <w:gridCol w:w="655"/>
        <w:gridCol w:w="655"/>
        <w:gridCol w:w="655"/>
      </w:tblGrid>
      <w:tr w:rsidR="00E535A0">
        <w:tc>
          <w:tcPr>
            <w:tcW w:w="2349" w:type="dxa"/>
            <w:vMerge w:val="restart"/>
            <w:shd w:val="clear" w:color="auto" w:fill="auto"/>
            <w:vAlign w:val="bottom"/>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Contribution</w:t>
            </w:r>
          </w:p>
        </w:tc>
        <w:tc>
          <w:tcPr>
            <w:tcW w:w="6548" w:type="dxa"/>
            <w:gridSpan w:val="10"/>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Average scores</w:t>
            </w:r>
          </w:p>
        </w:tc>
      </w:tr>
      <w:tr w:rsidR="00E535A0">
        <w:trPr>
          <w:cantSplit/>
          <w:trHeight w:val="1681"/>
        </w:trPr>
        <w:tc>
          <w:tcPr>
            <w:tcW w:w="2349" w:type="dxa"/>
            <w:vMerge/>
            <w:shd w:val="clear" w:color="auto" w:fill="auto"/>
          </w:tcPr>
          <w:p w:rsidR="00E535A0" w:rsidRDefault="00E535A0">
            <w:pPr>
              <w:keepNext/>
              <w:keepLines/>
              <w:spacing w:before="40" w:after="40" w:line="240" w:lineRule="auto"/>
              <w:jc w:val="both"/>
              <w:rPr>
                <w:rFonts w:ascii="Times New Roman" w:eastAsia="Times New Roman" w:hAnsi="Times New Roman" w:cs="Times New Roman"/>
                <w:b/>
                <w:noProof/>
                <w:sz w:val="18"/>
                <w:szCs w:val="18"/>
                <w:lang w:eastAsia="en-GB"/>
              </w:rPr>
            </w:pPr>
          </w:p>
        </w:tc>
        <w:tc>
          <w:tcPr>
            <w:tcW w:w="654" w:type="dxa"/>
            <w:shd w:val="clear" w:color="auto" w:fill="auto"/>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Agriculture</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Biotechnology and genetics</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Energy</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Environment</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ICT</w:t>
            </w:r>
          </w:p>
        </w:tc>
        <w:tc>
          <w:tcPr>
            <w:tcW w:w="654"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Material, engineering etc.</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Medical sciences</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Physics and chemistry</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Socio-economic sciences</w:t>
            </w:r>
            <w:r>
              <w:rPr>
                <w:rFonts w:ascii="Times New Roman" w:eastAsia="Times New Roman" w:hAnsi="Times New Roman" w:cs="Times New Roman"/>
                <w:noProof/>
                <w:sz w:val="18"/>
                <w:szCs w:val="18"/>
                <w:vertAlign w:val="superscript"/>
                <w:lang w:eastAsia="en-GB"/>
              </w:rPr>
              <w:t>(1)</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Total</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Number of employed researchers (particularly highly-qualified and experienced)</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2.91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2.88</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2.75</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 xml:space="preserve">Publication record </w:t>
            </w:r>
            <w:r>
              <w:rPr>
                <w:rFonts w:ascii="Times New Roman" w:eastAsia="Times New Roman" w:hAnsi="Times New Roman" w:cs="Times New Roman"/>
                <w:noProof/>
                <w:sz w:val="18"/>
                <w:szCs w:val="18"/>
                <w:lang w:eastAsia="en-GB"/>
              </w:rPr>
              <w:t>(particularly in peer-reviewed journals)</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1.85</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2.59</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2.58</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2.34</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Participation in conferences</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2.86</w:t>
            </w:r>
          </w:p>
          <w:p w:rsidR="00E535A0" w:rsidRDefault="00E535A0">
            <w:pPr>
              <w:keepNext/>
              <w:keepLines/>
              <w:spacing w:before="40" w:after="40" w:line="240" w:lineRule="auto"/>
              <w:jc w:val="both"/>
              <w:rPr>
                <w:rFonts w:ascii="Times New Roman" w:eastAsia="Times New Roman" w:hAnsi="Times New Roman" w:cs="Times New Roman"/>
                <w:noProof/>
                <w:sz w:val="18"/>
                <w:szCs w:val="18"/>
                <w:lang w:eastAsia="en-GB"/>
              </w:rPr>
            </w:pP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2.23</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2.56</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 xml:space="preserve">Participation in other EU FP7 activities (proposals submitted, funding obtained </w:t>
            </w:r>
            <w:r>
              <w:rPr>
                <w:rFonts w:ascii="Times New Roman" w:eastAsia="Times New Roman" w:hAnsi="Times New Roman" w:cs="Times New Roman"/>
                <w:noProof/>
                <w:sz w:val="18"/>
                <w:szCs w:val="18"/>
                <w:lang w:eastAsia="en-GB"/>
              </w:rPr>
              <w:t>etc.)</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2.36</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2.31</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2.34</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Participation in other national and international programmes</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2.31</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2.38</w:t>
            </w:r>
          </w:p>
        </w:tc>
      </w:tr>
      <w:tr w:rsidR="00E535A0">
        <w:trPr>
          <w:trHeight w:val="61"/>
        </w:trPr>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Participation in international research networks</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2.31</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2.49</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Cooperation with end-users (including SMEs) and other stakeholders</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1.82</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2.08</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2.17</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2.12</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2.14</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Own research policy and strategy in the mid-term</w:t>
            </w:r>
          </w:p>
        </w:tc>
        <w:tc>
          <w:tcPr>
            <w:tcW w:w="654"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2.86</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2.62</w:t>
            </w:r>
          </w:p>
        </w:tc>
        <w:tc>
          <w:tcPr>
            <w:tcW w:w="654"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2.83</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2.82</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2.75</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2.77</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Total average scores</w:t>
            </w:r>
          </w:p>
        </w:tc>
        <w:tc>
          <w:tcPr>
            <w:tcW w:w="654" w:type="dxa"/>
            <w:shd w:val="clear" w:color="auto" w:fill="auto"/>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2.73</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2.47</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2.46</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2.66</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2.26</w:t>
            </w:r>
          </w:p>
        </w:tc>
        <w:tc>
          <w:tcPr>
            <w:tcW w:w="654"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2.27</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2.58</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2.45</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0.00</w:t>
            </w:r>
          </w:p>
        </w:tc>
        <w:tc>
          <w:tcPr>
            <w:tcW w:w="655" w:type="dxa"/>
            <w:vAlign w:val="center"/>
          </w:tcPr>
          <w:p w:rsidR="00E535A0" w:rsidRDefault="00C953F5">
            <w:pPr>
              <w:spacing w:after="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2.13</w:t>
            </w:r>
          </w:p>
        </w:tc>
      </w:tr>
    </w:tbl>
    <w:p w:rsidR="00E535A0" w:rsidRDefault="00E535A0">
      <w:pPr>
        <w:keepNext/>
        <w:keepLines/>
        <w:spacing w:after="0" w:line="240" w:lineRule="auto"/>
        <w:jc w:val="both"/>
        <w:rPr>
          <w:rFonts w:ascii="Times New Roman" w:eastAsia="Times New Roman" w:hAnsi="Times New Roman" w:cs="Times New Roman"/>
          <w:noProof/>
          <w:sz w:val="20"/>
          <w:szCs w:val="24"/>
          <w:lang w:eastAsia="en-GB"/>
        </w:rPr>
      </w:pPr>
    </w:p>
    <w:p w:rsidR="00E535A0" w:rsidRDefault="00C953F5">
      <w:pPr>
        <w:keepNext/>
        <w:keepLines/>
        <w:spacing w:after="0" w:line="240" w:lineRule="auto"/>
        <w:jc w:val="both"/>
        <w:rPr>
          <w:rFonts w:ascii="Times New Roman" w:eastAsia="Times New Roman" w:hAnsi="Times New Roman" w:cs="Times New Roman"/>
          <w:noProof/>
          <w:sz w:val="20"/>
          <w:szCs w:val="24"/>
          <w:lang w:eastAsia="en-GB"/>
        </w:rPr>
      </w:pPr>
      <w:r>
        <w:rPr>
          <w:rFonts w:ascii="Times New Roman" w:eastAsia="Times New Roman" w:hAnsi="Times New Roman" w:cs="Times New Roman"/>
          <w:noProof/>
          <w:sz w:val="20"/>
          <w:szCs w:val="24"/>
          <w:lang w:eastAsia="en-GB"/>
        </w:rPr>
        <w:t>Source:</w:t>
      </w:r>
      <w:r>
        <w:rPr>
          <w:rFonts w:ascii="Times New Roman" w:eastAsia="Times New Roman" w:hAnsi="Times New Roman" w:cs="Times New Roman"/>
          <w:noProof/>
          <w:sz w:val="20"/>
          <w:szCs w:val="24"/>
          <w:lang w:eastAsia="en-GB"/>
        </w:rPr>
        <w:tab/>
      </w:r>
      <w:r>
        <w:rPr>
          <w:rFonts w:ascii="Times New Roman" w:eastAsia="Times New Roman" w:hAnsi="Times New Roman" w:cs="Times New Roman"/>
          <w:noProof/>
          <w:sz w:val="20"/>
          <w:szCs w:val="24"/>
          <w:lang w:eastAsia="en-GB"/>
        </w:rPr>
        <w:tab/>
        <w:t>COWI.</w:t>
      </w:r>
      <w:r>
        <w:rPr>
          <w:rFonts w:ascii="Times New Roman" w:eastAsia="Times New Roman" w:hAnsi="Times New Roman" w:cs="Times New Roman"/>
          <w:noProof/>
          <w:sz w:val="20"/>
          <w:szCs w:val="24"/>
          <w:lang w:eastAsia="en-GB"/>
        </w:rPr>
        <w:br/>
        <w:t>Notes:</w:t>
      </w:r>
      <w:r>
        <w:rPr>
          <w:rFonts w:ascii="Times New Roman" w:eastAsia="Times New Roman" w:hAnsi="Times New Roman" w:cs="Times New Roman"/>
          <w:noProof/>
          <w:sz w:val="20"/>
          <w:szCs w:val="24"/>
          <w:lang w:eastAsia="en-GB"/>
        </w:rPr>
        <w:tab/>
      </w:r>
      <w:r>
        <w:rPr>
          <w:rFonts w:ascii="Times New Roman" w:eastAsia="Times New Roman" w:hAnsi="Times New Roman" w:cs="Times New Roman"/>
          <w:noProof/>
          <w:sz w:val="20"/>
          <w:szCs w:val="24"/>
          <w:lang w:eastAsia="en-GB"/>
        </w:rPr>
        <w:tab/>
        <w:t xml:space="preserve">Scoring system: </w:t>
      </w:r>
      <w:r>
        <w:rPr>
          <w:rFonts w:ascii="Times New Roman" w:eastAsia="Times New Roman" w:hAnsi="Times New Roman" w:cs="Times New Roman"/>
          <w:i/>
          <w:noProof/>
          <w:sz w:val="20"/>
          <w:szCs w:val="24"/>
          <w:lang w:eastAsia="en-GB"/>
        </w:rPr>
        <w:t>0 = no contribution, 1 = low, 2 = average, 3 = high</w:t>
      </w:r>
      <w:r>
        <w:rPr>
          <w:rFonts w:ascii="Times New Roman" w:eastAsia="Times New Roman" w:hAnsi="Times New Roman" w:cs="Times New Roman"/>
          <w:noProof/>
          <w:sz w:val="20"/>
          <w:szCs w:val="24"/>
          <w:lang w:eastAsia="en-GB"/>
        </w:rPr>
        <w:t>.</w:t>
      </w:r>
    </w:p>
    <w:p w:rsidR="00E535A0" w:rsidRDefault="00C953F5">
      <w:pPr>
        <w:keepNext/>
        <w:keepLines/>
        <w:spacing w:after="0" w:line="240" w:lineRule="auto"/>
        <w:jc w:val="both"/>
        <w:rPr>
          <w:rFonts w:ascii="Times New Roman" w:eastAsia="Times New Roman" w:hAnsi="Times New Roman" w:cs="Times New Roman"/>
          <w:noProof/>
          <w:sz w:val="20"/>
          <w:szCs w:val="24"/>
          <w:lang w:eastAsia="en-GB"/>
        </w:rPr>
      </w:pPr>
      <w:r>
        <w:rPr>
          <w:rFonts w:ascii="Times New Roman" w:eastAsia="Times New Roman" w:hAnsi="Times New Roman" w:cs="Times New Roman"/>
          <w:noProof/>
          <w:sz w:val="20"/>
          <w:szCs w:val="24"/>
          <w:vertAlign w:val="superscript"/>
          <w:lang w:eastAsia="en-GB"/>
        </w:rPr>
        <w:tab/>
      </w:r>
      <w:r>
        <w:rPr>
          <w:rFonts w:ascii="Times New Roman" w:eastAsia="Times New Roman" w:hAnsi="Times New Roman" w:cs="Times New Roman"/>
          <w:noProof/>
          <w:sz w:val="20"/>
          <w:szCs w:val="24"/>
          <w:vertAlign w:val="superscript"/>
          <w:lang w:eastAsia="en-GB"/>
        </w:rPr>
        <w:tab/>
        <w:t>(1)</w:t>
      </w:r>
      <w:r>
        <w:rPr>
          <w:rFonts w:ascii="Times New Roman" w:eastAsia="Times New Roman" w:hAnsi="Times New Roman" w:cs="Times New Roman"/>
          <w:noProof/>
          <w:sz w:val="20"/>
          <w:szCs w:val="24"/>
          <w:lang w:eastAsia="en-GB"/>
        </w:rPr>
        <w:t>The answers for “socio-economic sciences” are based on one response only.</w:t>
      </w:r>
      <w:r>
        <w:rPr>
          <w:rFonts w:ascii="Times New Roman" w:eastAsia="Times New Roman" w:hAnsi="Times New Roman" w:cs="Times New Roman"/>
          <w:noProof/>
          <w:sz w:val="20"/>
          <w:szCs w:val="24"/>
          <w:lang w:eastAsia="en-GB"/>
        </w:rPr>
        <w:br/>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case studies reported in COWI’s Final Evaluation do similarly point to the achievement of research results via REGPOT support. Most of the project coordinators such as for DELICE, BIOSUPPORT, and CURE emphasise lifts to research capacities via the empl</w:t>
      </w:r>
      <w:r>
        <w:rPr>
          <w:rFonts w:ascii="Times New Roman" w:hAnsi="Times New Roman" w:cs="Times New Roman"/>
          <w:noProof/>
          <w:sz w:val="24"/>
          <w:szCs w:val="24"/>
        </w:rPr>
        <w:t xml:space="preserve">oyment of both younger and experienced researchers, and via the establishment of collaborations. Some project participants such as those participating in BIODESERT have improved their publication records, claiming that all BIODESERT publications have been </w:t>
      </w:r>
      <w:r>
        <w:rPr>
          <w:rFonts w:ascii="Times New Roman" w:hAnsi="Times New Roman" w:cs="Times New Roman"/>
          <w:noProof/>
          <w:sz w:val="24"/>
          <w:szCs w:val="24"/>
        </w:rPr>
        <w:t xml:space="preserve">cited by other authors in other scientific papers. Similarly, it is assessed that OPENGENE has led to a publication increase and that SOFIA significantly has contributed to a 200-300% increase in peer-reviewed proceedings and publications in journals with </w:t>
      </w:r>
      <w:r>
        <w:rPr>
          <w:rFonts w:ascii="Times New Roman" w:hAnsi="Times New Roman" w:cs="Times New Roman"/>
          <w:noProof/>
          <w:sz w:val="24"/>
          <w:szCs w:val="24"/>
        </w:rPr>
        <w:t xml:space="preserve">an impact factors from the period 2005-2009 to 2009-2012, while RECENT in a similar period has contributed to an increase of 63% for international publications and of 86% for publications in Polish journals.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How did REGPOT support key Community policies?</w:t>
      </w:r>
    </w:p>
    <w:p w:rsidR="00E535A0" w:rsidRDefault="00E535A0">
      <w:pPr>
        <w:autoSpaceDE w:val="0"/>
        <w:autoSpaceDN w:val="0"/>
        <w:adjustRightInd w:val="0"/>
        <w:spacing w:after="0" w:line="240" w:lineRule="auto"/>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research potential initiative complements EU investments in research co-financed through the Cohension Policy Programmes for 2007-2013. Such an approach facilitates better coordination of innovation policies at EU level including research and innovat</w:t>
      </w:r>
      <w:r>
        <w:rPr>
          <w:rFonts w:ascii="Times New Roman" w:hAnsi="Times New Roman" w:cs="Times New Roman"/>
          <w:noProof/>
          <w:sz w:val="24"/>
          <w:szCs w:val="24"/>
        </w:rPr>
        <w:t xml:space="preserve">ion as well as cohesion policies at European, national and regional level, both within and between these levels. </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REGPOT projects in order to achieve better results in building capacities of their research entities on many occasions combined both REGPOT </w:t>
      </w:r>
      <w:r>
        <w:rPr>
          <w:rFonts w:ascii="Times New Roman" w:hAnsi="Times New Roman" w:cs="Times New Roman"/>
          <w:noProof/>
          <w:sz w:val="24"/>
          <w:szCs w:val="24"/>
        </w:rPr>
        <w:t>funding and Regional Policy tools.</w:t>
      </w:r>
    </w:p>
    <w:p w:rsidR="00E535A0" w:rsidRDefault="00E535A0">
      <w:pPr>
        <w:autoSpaceDE w:val="0"/>
        <w:autoSpaceDN w:val="0"/>
        <w:adjustRightInd w:val="0"/>
        <w:spacing w:after="0" w:line="240" w:lineRule="auto"/>
        <w:ind w:left="720"/>
        <w:contextualSpacing/>
        <w:jc w:val="both"/>
        <w:rPr>
          <w:rFonts w:ascii="Times New Roman" w:eastAsia="Calibri"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There are many examples of synergies between these two policies. For example project Biocaps in biomedi</w:t>
      </w:r>
      <w:r>
        <w:rPr>
          <w:rFonts w:ascii="Times New Roman" w:hAnsi="Times New Roman" w:cs="Times New Roman"/>
          <w:noProof/>
          <w:sz w:val="24"/>
          <w:szCs w:val="24"/>
        </w:rPr>
        <w:t>cine on one hand has used REGPOT sources among others to enhance its capacities through becoming more competitive and</w:t>
      </w:r>
      <w:r>
        <w:rPr>
          <w:rFonts w:ascii="Times New Roman" w:hAnsi="Times New Roman" w:cs="Times New Roman"/>
          <w:noProof/>
          <w:sz w:val="24"/>
          <w:szCs w:val="24"/>
        </w:rPr>
        <w:t xml:space="preserve"> increasing the capability of technology transfer and developing the IPR expertise and on the other hand it has used Cohesion Policy funds to build new infrastructure (a new hospital building).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REGPOT was a pioneer in promoting coordinated usage of fundin</w:t>
      </w:r>
      <w:r>
        <w:rPr>
          <w:rFonts w:ascii="Times New Roman" w:hAnsi="Times New Roman" w:cs="Times New Roman"/>
          <w:noProof/>
          <w:sz w:val="24"/>
          <w:szCs w:val="24"/>
        </w:rPr>
        <w:t>g from FP and Regional policy. Such an approach facilitated better coordination of policies and better understanding of needs at many levels.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after="0"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 Research Potential initiative is not limited to the EU's convergence and outermost regions. It promotes scien</w:t>
      </w:r>
      <w:r>
        <w:rPr>
          <w:rFonts w:ascii="Times New Roman" w:hAnsi="Times New Roman" w:cs="Times New Roman"/>
          <w:noProof/>
          <w:sz w:val="24"/>
          <w:szCs w:val="24"/>
        </w:rPr>
        <w:t xml:space="preserve">tific and technological cooperation between ERA-based entities and counterparts from the Mediterranean Partner Countries (MPC- Algeria, Egypt, Jordan, Lebanon, Morocco, Tunisia, Syria, Palestinian-Administered Areas and Libya) and Albania, Turkey, Serbia, </w:t>
      </w:r>
      <w:r>
        <w:rPr>
          <w:rFonts w:ascii="Times New Roman" w:hAnsi="Times New Roman" w:cs="Times New Roman"/>
          <w:noProof/>
          <w:sz w:val="24"/>
          <w:szCs w:val="24"/>
        </w:rPr>
        <w:t xml:space="preserve">Croatia and FYROM Several specific calls were organised to specifically target the above geographic areas. Thus, REGPOT prepared significantly contributed to the  </w:t>
      </w:r>
      <w:hyperlink r:id="rId62" w:history="1">
        <w:r>
          <w:rPr>
            <w:rFonts w:ascii="Times New Roman" w:hAnsi="Times New Roman" w:cs="Times New Roman"/>
            <w:noProof/>
            <w:sz w:val="24"/>
            <w:szCs w:val="24"/>
          </w:rPr>
          <w:t>European Neighbourhood Policy</w:t>
        </w:r>
      </w:hyperlink>
      <w:r>
        <w:rPr>
          <w:rFonts w:ascii="Times New Roman" w:hAnsi="Times New Roman" w:cs="Times New Roman"/>
          <w:noProof/>
          <w:sz w:val="24"/>
          <w:szCs w:val="24"/>
        </w:rPr>
        <w:t>.</w:t>
      </w:r>
    </w:p>
    <w:p w:rsidR="00E535A0" w:rsidRDefault="00E535A0">
      <w:pPr>
        <w:spacing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REGPOT </w:t>
      </w:r>
      <w:r>
        <w:rPr>
          <w:rFonts w:ascii="Times New Roman" w:hAnsi="Times New Roman" w:cs="Times New Roman"/>
          <w:b/>
          <w:noProof/>
          <w:sz w:val="24"/>
          <w:szCs w:val="24"/>
        </w:rPr>
        <w:t>increase availability, coordination and access in relation to top-level European scientific and technological infrastructure?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COWI’s Final Evaluation (2014) concludes that REGPOT has helped to overcome financial barriers such as a lack of national and in </w:t>
      </w:r>
      <w:r>
        <w:rPr>
          <w:rFonts w:ascii="Times New Roman" w:hAnsi="Times New Roman" w:cs="Times New Roman"/>
          <w:noProof/>
          <w:sz w:val="24"/>
          <w:szCs w:val="24"/>
        </w:rPr>
        <w:t>particular regional funding for specialised state-of-the-art research equipment as well as for the hiring of high-level staff, hereunder foreign experts. Furthermore, many research actors consulted during the case studies did previously experience very few</w:t>
      </w:r>
      <w:r>
        <w:rPr>
          <w:rFonts w:ascii="Times New Roman" w:hAnsi="Times New Roman" w:cs="Times New Roman"/>
          <w:noProof/>
          <w:sz w:val="24"/>
          <w:szCs w:val="24"/>
        </w:rPr>
        <w:t xml:space="preserve"> funds available for conference participation and networking – hereunder for younger researcher that have benefitted from increasing their mobility within the twinning arrangements between REGPOT project partners.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Hence, on this basis this final evaluati</w:t>
      </w:r>
      <w:r>
        <w:rPr>
          <w:rFonts w:ascii="Times New Roman" w:hAnsi="Times New Roman" w:cs="Times New Roman"/>
          <w:noProof/>
          <w:sz w:val="24"/>
          <w:szCs w:val="24"/>
        </w:rPr>
        <w:t>on (COWI 2014) suggests that REGPOT has been an efficient programme that has helped to fill the financial gap needed to unlock and develop existing and emergence research excellence in the EU’s Convergence and Outermost regions.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Expert Group (2011) as</w:t>
      </w:r>
      <w:r>
        <w:rPr>
          <w:rFonts w:ascii="Times New Roman" w:hAnsi="Times New Roman" w:cs="Times New Roman"/>
          <w:noProof/>
          <w:sz w:val="24"/>
          <w:szCs w:val="24"/>
        </w:rPr>
        <w:t>sessed that this was the case and REGPOT has had an important developing, bridging and integrating role between research and innovation capacities in less-developed regions and the research institutions in developed regions by supporting networking and coo</w:t>
      </w:r>
      <w:r>
        <w:rPr>
          <w:rFonts w:ascii="Times New Roman" w:hAnsi="Times New Roman" w:cs="Times New Roman"/>
          <w:noProof/>
          <w:sz w:val="24"/>
          <w:szCs w:val="24"/>
        </w:rPr>
        <w:t>peration. Furthermore, it states that the important capacity building activities have included acquisition of equipment, human resource development through recruitment of excellent researchers, and knowledge transfer to researchers on the spot through seco</w:t>
      </w:r>
      <w:r>
        <w:rPr>
          <w:rFonts w:ascii="Times New Roman" w:hAnsi="Times New Roman" w:cs="Times New Roman"/>
          <w:noProof/>
          <w:sz w:val="24"/>
          <w:szCs w:val="24"/>
        </w:rPr>
        <w:t>ndment activities. The Expert Group (2011) agrees with these findings and goes as already mentioned so far to give its executive summary the title “A success story towards a broader ERA”.</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much did REGPOT contribute to job creation?</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after="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s-ES"/>
        </w:rPr>
        <w:t xml:space="preserve">REGPOT's </w:t>
      </w:r>
      <w:r>
        <w:rPr>
          <w:rFonts w:ascii="Times New Roman" w:hAnsi="Times New Roman" w:cs="Times New Roman"/>
          <w:noProof/>
          <w:sz w:val="24"/>
          <w:szCs w:val="24"/>
        </w:rPr>
        <w:t xml:space="preserve">ultimate </w:t>
      </w:r>
      <w:r>
        <w:rPr>
          <w:rFonts w:ascii="Times New Roman" w:hAnsi="Times New Roman" w:cs="Times New Roman"/>
          <w:noProof/>
          <w:sz w:val="24"/>
          <w:szCs w:val="24"/>
        </w:rPr>
        <w:t>goal is to unlock the full research potential of the EU by reinforcing and developing emerging capabilities in Europe’s remote and less-developed regions</w:t>
      </w:r>
      <w:r>
        <w:rPr>
          <w:rFonts w:ascii="Times New Roman" w:eastAsia="Calibri" w:hAnsi="Times New Roman" w:cs="Times New Roman"/>
          <w:noProof/>
          <w:sz w:val="24"/>
          <w:szCs w:val="24"/>
          <w:lang w:eastAsia="es-ES"/>
        </w:rPr>
        <w:t>. One of the aims is also to employ new experienced personnel to strengthen the scientific basis of res</w:t>
      </w:r>
      <w:r>
        <w:rPr>
          <w:rFonts w:ascii="Times New Roman" w:eastAsia="Calibri" w:hAnsi="Times New Roman" w:cs="Times New Roman"/>
          <w:noProof/>
          <w:sz w:val="24"/>
          <w:szCs w:val="24"/>
          <w:lang w:eastAsia="es-ES"/>
        </w:rPr>
        <w:t xml:space="preserve">earch entities. </w:t>
      </w:r>
      <w:r>
        <w:rPr>
          <w:rFonts w:ascii="Times New Roman" w:eastAsia="Calibri" w:hAnsi="Times New Roman" w:cs="Times New Roman"/>
          <w:noProof/>
          <w:sz w:val="24"/>
          <w:szCs w:val="24"/>
        </w:rPr>
        <w:t>It is estimated that 201 REGPOT projects created approximately 1000 new jobs for research and technical staff. This employment went beyond the projects' duration and belonged to the overall employment sustainability strategy of REGPOT proje</w:t>
      </w:r>
      <w:r>
        <w:rPr>
          <w:rFonts w:ascii="Times New Roman" w:eastAsia="Calibri" w:hAnsi="Times New Roman" w:cs="Times New Roman"/>
          <w:noProof/>
          <w:sz w:val="24"/>
          <w:szCs w:val="24"/>
        </w:rPr>
        <w:t>cts. This action was also aimed at reducing brain drain in the EU as researchers were mainly employed from abroad so called 'returning researchers'.</w:t>
      </w:r>
    </w:p>
    <w:p w:rsidR="00E535A0" w:rsidRDefault="00E535A0">
      <w:pPr>
        <w:spacing w:after="0" w:line="240" w:lineRule="auto"/>
        <w:contextualSpacing/>
        <w:jc w:val="both"/>
        <w:rPr>
          <w:rFonts w:ascii="Times New Roman" w:eastAsia="Calibri" w:hAnsi="Times New Roman" w:cs="Times New Roman"/>
          <w:noProof/>
          <w:sz w:val="24"/>
          <w:szCs w:val="24"/>
        </w:rPr>
      </w:pPr>
    </w:p>
    <w:p w:rsidR="00E535A0" w:rsidRDefault="00C953F5">
      <w:pPr>
        <w:spacing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What was the added value of REGPOT when compared with national research and innovation programmes?</w:t>
      </w:r>
    </w:p>
    <w:p w:rsidR="00E535A0" w:rsidRDefault="00C953F5">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COWI’s Final Evaluation entails </w:t>
      </w:r>
      <w:r>
        <w:rPr>
          <w:rFonts w:ascii="Times New Roman" w:eastAsia="Times New Roman" w:hAnsi="Times New Roman" w:cs="Times New Roman"/>
          <w:noProof/>
          <w:sz w:val="24"/>
          <w:szCs w:val="24"/>
          <w:lang w:eastAsia="en-GB"/>
        </w:rPr>
        <w:fldChar w:fldCharType="begin"/>
      </w:r>
      <w:r>
        <w:rPr>
          <w:rFonts w:ascii="Times New Roman" w:eastAsia="Times New Roman" w:hAnsi="Times New Roman" w:cs="Times New Roman"/>
          <w:noProof/>
          <w:sz w:val="24"/>
          <w:szCs w:val="24"/>
          <w:lang w:eastAsia="en-GB"/>
        </w:rPr>
        <w:instrText xml:space="preserve"> REF _Ref381608611 \h  \* MERGEFORMAT </w:instrText>
      </w:r>
      <w:r>
        <w:rPr>
          <w:rFonts w:ascii="Times New Roman" w:eastAsia="Times New Roman" w:hAnsi="Times New Roman" w:cs="Times New Roman"/>
          <w:noProof/>
          <w:sz w:val="24"/>
          <w:szCs w:val="24"/>
          <w:lang w:eastAsia="en-GB"/>
        </w:rPr>
      </w:r>
      <w:r>
        <w:rPr>
          <w:rFonts w:ascii="Times New Roman" w:eastAsia="Times New Roman" w:hAnsi="Times New Roman" w:cs="Times New Roman"/>
          <w:noProof/>
          <w:sz w:val="24"/>
          <w:szCs w:val="24"/>
          <w:lang w:eastAsia="en-GB"/>
        </w:rPr>
        <w:fldChar w:fldCharType="separate"/>
      </w:r>
      <w:r>
        <w:rPr>
          <w:rFonts w:ascii="Times New Roman" w:eastAsia="Times New Roman" w:hAnsi="Times New Roman" w:cs="Times New Roman"/>
          <w:noProof/>
          <w:sz w:val="24"/>
          <w:szCs w:val="24"/>
          <w:lang w:eastAsia="en-GB"/>
        </w:rPr>
        <w:t>Table 5</w:t>
      </w:r>
      <w:r>
        <w:rPr>
          <w:rFonts w:ascii="Times New Roman" w:eastAsia="Times New Roman" w:hAnsi="Times New Roman" w:cs="Times New Roman"/>
          <w:noProof/>
          <w:sz w:val="24"/>
          <w:szCs w:val="24"/>
          <w:lang w:eastAsia="en-GB"/>
        </w:rPr>
        <w:fldChar w:fldCharType="end"/>
      </w:r>
      <w:r>
        <w:rPr>
          <w:rFonts w:ascii="Times New Roman" w:eastAsia="Times New Roman" w:hAnsi="Times New Roman" w:cs="Times New Roman"/>
          <w:noProof/>
          <w:sz w:val="24"/>
          <w:szCs w:val="24"/>
          <w:lang w:eastAsia="en-GB"/>
        </w:rPr>
        <w:t xml:space="preserve"> (p. 19), which describes the participant’s perception on the negative consequences of not having received support from REGPOT. These research actors claim that no REGPOT support would in particular have had high negative consequences for RTD achievements,</w:t>
      </w:r>
      <w:r>
        <w:rPr>
          <w:rFonts w:ascii="Times New Roman" w:eastAsia="Times New Roman" w:hAnsi="Times New Roman" w:cs="Times New Roman"/>
          <w:noProof/>
          <w:sz w:val="24"/>
          <w:szCs w:val="24"/>
          <w:lang w:eastAsia="en-GB"/>
        </w:rPr>
        <w:t xml:space="preserve"> for connections with the European scientific community, and for the capacity to go from project-based research to strategy-based research.</w:t>
      </w:r>
    </w:p>
    <w:p w:rsidR="00E535A0" w:rsidRDefault="00C953F5">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added value from REGPOT for the projects within biotechnology and genetics research seems to be somewhat lower. </w:t>
      </w:r>
      <w:r>
        <w:rPr>
          <w:rFonts w:ascii="Times New Roman" w:eastAsia="Times New Roman" w:hAnsi="Times New Roman" w:cs="Times New Roman"/>
          <w:noProof/>
          <w:sz w:val="24"/>
          <w:szCs w:val="24"/>
          <w:lang w:eastAsia="en-GB"/>
        </w:rPr>
        <w:t>This goes mainly for the contribution to the networking capability with end-users – a topic that also scores low for the material, engineering, space and transport projects. The research actors within medical sciences and within agriculture also assess the</w:t>
      </w:r>
      <w:r>
        <w:rPr>
          <w:rFonts w:ascii="Times New Roman" w:eastAsia="Times New Roman" w:hAnsi="Times New Roman" w:cs="Times New Roman"/>
          <w:noProof/>
          <w:sz w:val="24"/>
          <w:szCs w:val="24"/>
          <w:lang w:eastAsia="en-GB"/>
        </w:rPr>
        <w:t xml:space="preserve"> efficiency of REGPOT to be relatively high, and this is the case for all research capacity issues. </w:t>
      </w:r>
    </w:p>
    <w:p w:rsidR="00E535A0" w:rsidRDefault="00C953F5">
      <w:pPr>
        <w:keepNext/>
        <w:keepLines/>
        <w:spacing w:line="240" w:lineRule="auto"/>
        <w:jc w:val="both"/>
        <w:rPr>
          <w:rFonts w:ascii="Times New Roman" w:eastAsia="Times New Roman" w:hAnsi="Times New Roman" w:cs="Times New Roman"/>
          <w:b/>
          <w:bCs/>
          <w:noProof/>
          <w:sz w:val="24"/>
          <w:szCs w:val="24"/>
          <w:lang w:eastAsia="en-GB"/>
        </w:rPr>
      </w:pPr>
      <w:bookmarkStart w:id="16" w:name="_Ref381608611"/>
      <w:r>
        <w:rPr>
          <w:rFonts w:ascii="Times New Roman" w:eastAsia="Times New Roman" w:hAnsi="Times New Roman" w:cs="Times New Roman"/>
          <w:b/>
          <w:bCs/>
          <w:noProof/>
          <w:sz w:val="24"/>
          <w:szCs w:val="24"/>
          <w:lang w:eastAsia="en-GB"/>
        </w:rPr>
        <w:t xml:space="preserve">Table </w:t>
      </w:r>
      <w:r>
        <w:rPr>
          <w:rFonts w:ascii="Times New Roman" w:eastAsia="Times New Roman" w:hAnsi="Times New Roman" w:cs="Times New Roman"/>
          <w:b/>
          <w:bCs/>
          <w:noProof/>
          <w:sz w:val="24"/>
          <w:szCs w:val="24"/>
          <w:lang w:eastAsia="en-GB"/>
        </w:rPr>
        <w:fldChar w:fldCharType="begin"/>
      </w:r>
      <w:r>
        <w:rPr>
          <w:rFonts w:ascii="Times New Roman" w:eastAsia="Times New Roman" w:hAnsi="Times New Roman" w:cs="Times New Roman"/>
          <w:b/>
          <w:bCs/>
          <w:noProof/>
          <w:sz w:val="24"/>
          <w:szCs w:val="24"/>
          <w:lang w:eastAsia="en-GB"/>
        </w:rPr>
        <w:instrText xml:space="preserve"> SEQ Table \* ARABIC </w:instrText>
      </w:r>
      <w:r>
        <w:rPr>
          <w:rFonts w:ascii="Times New Roman" w:eastAsia="Times New Roman" w:hAnsi="Times New Roman" w:cs="Times New Roman"/>
          <w:b/>
          <w:bCs/>
          <w:noProof/>
          <w:sz w:val="24"/>
          <w:szCs w:val="24"/>
          <w:lang w:eastAsia="en-GB"/>
        </w:rPr>
        <w:fldChar w:fldCharType="separate"/>
      </w:r>
      <w:r>
        <w:rPr>
          <w:rFonts w:ascii="Times New Roman" w:eastAsia="Times New Roman" w:hAnsi="Times New Roman" w:cs="Times New Roman"/>
          <w:b/>
          <w:bCs/>
          <w:noProof/>
          <w:sz w:val="24"/>
          <w:szCs w:val="24"/>
          <w:lang w:eastAsia="en-GB"/>
        </w:rPr>
        <w:t>5</w:t>
      </w:r>
      <w:r>
        <w:rPr>
          <w:rFonts w:ascii="Times New Roman" w:eastAsia="Times New Roman" w:hAnsi="Times New Roman" w:cs="Times New Roman"/>
          <w:b/>
          <w:bCs/>
          <w:noProof/>
          <w:sz w:val="24"/>
          <w:szCs w:val="24"/>
          <w:lang w:eastAsia="en-GB"/>
        </w:rPr>
        <w:fldChar w:fldCharType="end"/>
      </w:r>
      <w:bookmarkEnd w:id="16"/>
      <w:r>
        <w:rPr>
          <w:rFonts w:ascii="Times New Roman" w:eastAsia="Times New Roman" w:hAnsi="Times New Roman" w:cs="Times New Roman"/>
          <w:b/>
          <w:bCs/>
          <w:noProof/>
          <w:sz w:val="24"/>
          <w:szCs w:val="24"/>
          <w:lang w:eastAsia="en-GB"/>
        </w:rPr>
        <w:t>:</w:t>
      </w:r>
      <w:r>
        <w:rPr>
          <w:rFonts w:ascii="Times New Roman" w:eastAsia="Times New Roman" w:hAnsi="Times New Roman" w:cs="Times New Roman"/>
          <w:b/>
          <w:bCs/>
          <w:noProof/>
          <w:sz w:val="24"/>
          <w:szCs w:val="24"/>
          <w:lang w:eastAsia="en-GB"/>
        </w:rPr>
        <w:tab/>
        <w:t>Possible negative consequences of not having received support from REGPOT – by research theme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654"/>
        <w:gridCol w:w="655"/>
        <w:gridCol w:w="655"/>
        <w:gridCol w:w="655"/>
        <w:gridCol w:w="655"/>
        <w:gridCol w:w="654"/>
        <w:gridCol w:w="655"/>
        <w:gridCol w:w="655"/>
        <w:gridCol w:w="655"/>
        <w:gridCol w:w="655"/>
      </w:tblGrid>
      <w:tr w:rsidR="00E535A0">
        <w:tc>
          <w:tcPr>
            <w:tcW w:w="2349" w:type="dxa"/>
            <w:vMerge w:val="restart"/>
            <w:shd w:val="clear" w:color="auto" w:fill="auto"/>
            <w:vAlign w:val="bottom"/>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Possible negative consequenc</w:t>
            </w:r>
            <w:r>
              <w:rPr>
                <w:rFonts w:ascii="Times New Roman" w:eastAsia="Times New Roman" w:hAnsi="Times New Roman" w:cs="Times New Roman"/>
                <w:b/>
                <w:noProof/>
                <w:sz w:val="18"/>
                <w:szCs w:val="18"/>
                <w:lang w:eastAsia="en-GB"/>
              </w:rPr>
              <w:t>es</w:t>
            </w:r>
          </w:p>
        </w:tc>
        <w:tc>
          <w:tcPr>
            <w:tcW w:w="6548" w:type="dxa"/>
            <w:gridSpan w:val="10"/>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Average scores</w:t>
            </w:r>
          </w:p>
        </w:tc>
      </w:tr>
      <w:tr w:rsidR="00E535A0">
        <w:trPr>
          <w:cantSplit/>
          <w:trHeight w:val="1681"/>
        </w:trPr>
        <w:tc>
          <w:tcPr>
            <w:tcW w:w="2349" w:type="dxa"/>
            <w:vMerge/>
            <w:shd w:val="clear" w:color="auto" w:fill="auto"/>
          </w:tcPr>
          <w:p w:rsidR="00E535A0" w:rsidRDefault="00E535A0">
            <w:pPr>
              <w:keepNext/>
              <w:keepLines/>
              <w:spacing w:before="40" w:after="40" w:line="240" w:lineRule="auto"/>
              <w:jc w:val="both"/>
              <w:rPr>
                <w:rFonts w:ascii="Times New Roman" w:eastAsia="Times New Roman" w:hAnsi="Times New Roman" w:cs="Times New Roman"/>
                <w:b/>
                <w:noProof/>
                <w:sz w:val="18"/>
                <w:szCs w:val="18"/>
                <w:lang w:eastAsia="en-GB"/>
              </w:rPr>
            </w:pPr>
          </w:p>
        </w:tc>
        <w:tc>
          <w:tcPr>
            <w:tcW w:w="654" w:type="dxa"/>
            <w:shd w:val="clear" w:color="auto" w:fill="auto"/>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Agriculture</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Biotechnology and genetics</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Energy</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Environment</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ICT</w:t>
            </w:r>
          </w:p>
        </w:tc>
        <w:tc>
          <w:tcPr>
            <w:tcW w:w="654"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Material, engineering etc.</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Medical sciences</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Physics and chemistry</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Socio-economic sciences</w:t>
            </w:r>
            <w:r>
              <w:rPr>
                <w:rFonts w:ascii="Times New Roman" w:eastAsia="Times New Roman" w:hAnsi="Times New Roman" w:cs="Times New Roman"/>
                <w:noProof/>
                <w:sz w:val="18"/>
                <w:szCs w:val="18"/>
                <w:vertAlign w:val="superscript"/>
                <w:lang w:eastAsia="en-GB"/>
              </w:rPr>
              <w:t>(1)</w:t>
            </w:r>
          </w:p>
        </w:tc>
        <w:tc>
          <w:tcPr>
            <w:tcW w:w="655" w:type="dxa"/>
            <w:textDirection w:val="btLr"/>
            <w:vAlign w:val="center"/>
          </w:tcPr>
          <w:p w:rsidR="00E535A0" w:rsidRDefault="00C953F5">
            <w:pPr>
              <w:keepNext/>
              <w:keepLines/>
              <w:spacing w:before="40" w:after="40" w:line="240" w:lineRule="auto"/>
              <w:ind w:left="113" w:right="113"/>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Total</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Less RTD achievements in your research domain</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2.57</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1.82</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2.23</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2.88</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2.42</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2.38</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Difficulty to recruit excellent researchers</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2.29</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2.09</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2.23</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2.17</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2.76</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2.42</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2.36</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Less capacity to keep excellent researchers</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2.09</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2.75</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2.15</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2.65</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2.08</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2.32</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 xml:space="preserve">Less connections with the European </w:t>
            </w:r>
            <w:r>
              <w:rPr>
                <w:rFonts w:ascii="Times New Roman" w:eastAsia="Times New Roman" w:hAnsi="Times New Roman" w:cs="Times New Roman"/>
                <w:noProof/>
                <w:sz w:val="18"/>
                <w:szCs w:val="18"/>
                <w:lang w:eastAsia="en-GB"/>
              </w:rPr>
              <w:t>scientific community</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2.86</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1.64</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2.25</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2.41</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2.17</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2.19</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Lower capacity to update laboratory research equipment</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2.71</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1.82</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2.67</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2.38</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2.82</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2.42</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2.42</w:t>
            </w:r>
          </w:p>
        </w:tc>
      </w:tr>
      <w:tr w:rsidR="00E535A0">
        <w:trPr>
          <w:trHeight w:val="61"/>
        </w:trPr>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Lower capacity to go from project-based research to strategy-based research</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2.29</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1.64</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3.00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1.92</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1.83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2.17</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2.11</w:t>
            </w:r>
          </w:p>
        </w:tc>
      </w:tr>
      <w:tr w:rsidR="00E535A0">
        <w:tc>
          <w:tcPr>
            <w:tcW w:w="2349"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Limited networking capability with end-users</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2.29</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1.36</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2.33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2.25</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2.00</w:t>
            </w:r>
          </w:p>
        </w:tc>
        <w:tc>
          <w:tcPr>
            <w:tcW w:w="654"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1.33</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2.29</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2.50</w:t>
            </w:r>
          </w:p>
        </w:tc>
        <w:tc>
          <w:tcPr>
            <w:tcW w:w="655" w:type="dxa"/>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2.03</w:t>
            </w:r>
          </w:p>
        </w:tc>
      </w:tr>
      <w:tr w:rsidR="00E535A0">
        <w:tc>
          <w:tcPr>
            <w:tcW w:w="2349" w:type="dxa"/>
            <w:shd w:val="clear" w:color="auto" w:fill="auto"/>
            <w:vAlign w:val="center"/>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Total average scores</w:t>
            </w:r>
          </w:p>
        </w:tc>
        <w:tc>
          <w:tcPr>
            <w:tcW w:w="654" w:type="dxa"/>
            <w:shd w:val="clear" w:color="auto" w:fill="auto"/>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2.53</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1.78</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2.71</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2.39</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2.18</w:t>
            </w:r>
          </w:p>
        </w:tc>
        <w:tc>
          <w:tcPr>
            <w:tcW w:w="654"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1.86</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2.62</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2.31</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0.29</w:t>
            </w:r>
          </w:p>
        </w:tc>
        <w:tc>
          <w:tcPr>
            <w:tcW w:w="655" w:type="dxa"/>
            <w:vAlign w:val="center"/>
          </w:tcPr>
          <w:p w:rsidR="00E535A0" w:rsidRDefault="00C953F5">
            <w:pPr>
              <w:spacing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2.26</w:t>
            </w:r>
          </w:p>
        </w:tc>
      </w:tr>
    </w:tbl>
    <w:p w:rsidR="00E535A0" w:rsidRDefault="00C953F5">
      <w:pPr>
        <w:keepNext/>
        <w:keepLines/>
        <w:spacing w:after="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Source:</w:t>
      </w:r>
      <w:r>
        <w:rPr>
          <w:rFonts w:ascii="Times New Roman" w:eastAsia="Times New Roman" w:hAnsi="Times New Roman" w:cs="Times New Roman"/>
          <w:noProof/>
          <w:sz w:val="18"/>
          <w:szCs w:val="18"/>
          <w:lang w:eastAsia="en-GB"/>
        </w:rPr>
        <w:tab/>
      </w:r>
      <w:r>
        <w:rPr>
          <w:rFonts w:ascii="Times New Roman" w:eastAsia="Times New Roman" w:hAnsi="Times New Roman" w:cs="Times New Roman"/>
          <w:noProof/>
          <w:sz w:val="18"/>
          <w:szCs w:val="18"/>
          <w:lang w:eastAsia="en-GB"/>
        </w:rPr>
        <w:tab/>
        <w:t>COWI.</w:t>
      </w:r>
      <w:r>
        <w:rPr>
          <w:rFonts w:ascii="Times New Roman" w:eastAsia="Times New Roman" w:hAnsi="Times New Roman" w:cs="Times New Roman"/>
          <w:noProof/>
          <w:sz w:val="18"/>
          <w:szCs w:val="18"/>
          <w:lang w:eastAsia="en-GB"/>
        </w:rPr>
        <w:br/>
        <w:t>Notes:</w:t>
      </w:r>
      <w:r>
        <w:rPr>
          <w:rFonts w:ascii="Times New Roman" w:eastAsia="Times New Roman" w:hAnsi="Times New Roman" w:cs="Times New Roman"/>
          <w:noProof/>
          <w:sz w:val="18"/>
          <w:szCs w:val="18"/>
          <w:lang w:eastAsia="en-GB"/>
        </w:rPr>
        <w:tab/>
      </w:r>
      <w:r>
        <w:rPr>
          <w:rFonts w:ascii="Times New Roman" w:eastAsia="Times New Roman" w:hAnsi="Times New Roman" w:cs="Times New Roman"/>
          <w:noProof/>
          <w:sz w:val="18"/>
          <w:szCs w:val="18"/>
          <w:lang w:eastAsia="en-GB"/>
        </w:rPr>
        <w:tab/>
      </w:r>
      <w:r>
        <w:rPr>
          <w:rFonts w:ascii="Times New Roman" w:eastAsia="Times New Roman" w:hAnsi="Times New Roman" w:cs="Times New Roman"/>
          <w:noProof/>
          <w:sz w:val="18"/>
          <w:szCs w:val="18"/>
          <w:lang w:eastAsia="en-GB"/>
        </w:rPr>
        <w:t xml:space="preserve">Scoring system: </w:t>
      </w:r>
      <w:r>
        <w:rPr>
          <w:rFonts w:ascii="Times New Roman" w:eastAsia="Times New Roman" w:hAnsi="Times New Roman" w:cs="Times New Roman"/>
          <w:i/>
          <w:noProof/>
          <w:sz w:val="18"/>
          <w:szCs w:val="18"/>
          <w:lang w:eastAsia="en-GB"/>
        </w:rPr>
        <w:t xml:space="preserve">0 = no negative consequences, 1 = low negative consequences, </w:t>
      </w:r>
      <w:r>
        <w:rPr>
          <w:rFonts w:ascii="Times New Roman" w:eastAsia="Times New Roman" w:hAnsi="Times New Roman" w:cs="Times New Roman"/>
          <w:i/>
          <w:noProof/>
          <w:sz w:val="18"/>
          <w:szCs w:val="18"/>
          <w:lang w:eastAsia="en-GB"/>
        </w:rPr>
        <w:br/>
      </w:r>
      <w:r>
        <w:rPr>
          <w:rFonts w:ascii="Times New Roman" w:eastAsia="Times New Roman" w:hAnsi="Times New Roman" w:cs="Times New Roman"/>
          <w:i/>
          <w:noProof/>
          <w:sz w:val="18"/>
          <w:szCs w:val="18"/>
          <w:lang w:eastAsia="en-GB"/>
        </w:rPr>
        <w:tab/>
      </w:r>
      <w:r>
        <w:rPr>
          <w:rFonts w:ascii="Times New Roman" w:eastAsia="Times New Roman" w:hAnsi="Times New Roman" w:cs="Times New Roman"/>
          <w:i/>
          <w:noProof/>
          <w:sz w:val="18"/>
          <w:szCs w:val="18"/>
          <w:lang w:eastAsia="en-GB"/>
        </w:rPr>
        <w:tab/>
        <w:t>2 = average negative consequences, 3 = high negative consequences</w:t>
      </w:r>
      <w:r>
        <w:rPr>
          <w:rFonts w:ascii="Times New Roman" w:eastAsia="Times New Roman" w:hAnsi="Times New Roman" w:cs="Times New Roman"/>
          <w:noProof/>
          <w:sz w:val="18"/>
          <w:szCs w:val="18"/>
          <w:lang w:eastAsia="en-GB"/>
        </w:rPr>
        <w:t>.</w:t>
      </w:r>
    </w:p>
    <w:p w:rsidR="00E535A0" w:rsidRDefault="00C953F5">
      <w:pPr>
        <w:keepNext/>
        <w:keepLines/>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vertAlign w:val="superscript"/>
          <w:lang w:eastAsia="en-GB"/>
        </w:rPr>
        <w:tab/>
      </w:r>
      <w:r>
        <w:rPr>
          <w:rFonts w:ascii="Times New Roman" w:eastAsia="Times New Roman" w:hAnsi="Times New Roman" w:cs="Times New Roman"/>
          <w:noProof/>
          <w:sz w:val="18"/>
          <w:szCs w:val="18"/>
          <w:vertAlign w:val="superscript"/>
          <w:lang w:eastAsia="en-GB"/>
        </w:rPr>
        <w:tab/>
        <w:t>(1)</w:t>
      </w:r>
      <w:r>
        <w:rPr>
          <w:rFonts w:ascii="Times New Roman" w:eastAsia="Times New Roman" w:hAnsi="Times New Roman" w:cs="Times New Roman"/>
          <w:noProof/>
          <w:sz w:val="18"/>
          <w:szCs w:val="18"/>
          <w:lang w:eastAsia="en-GB"/>
        </w:rPr>
        <w:t>The answers for “socio-economic sciences” are based on one response only.</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As shown in </w:t>
      </w:r>
      <w:r>
        <w:rPr>
          <w:rFonts w:ascii="Times New Roman" w:eastAsia="Times New Roman" w:hAnsi="Times New Roman" w:cs="Times New Roman"/>
          <w:noProof/>
          <w:sz w:val="24"/>
          <w:szCs w:val="24"/>
          <w:lang w:eastAsia="en-GB"/>
        </w:rPr>
        <w:fldChar w:fldCharType="begin"/>
      </w:r>
      <w:r>
        <w:rPr>
          <w:rFonts w:ascii="Times New Roman" w:eastAsia="Times New Roman" w:hAnsi="Times New Roman" w:cs="Times New Roman"/>
          <w:noProof/>
          <w:sz w:val="24"/>
          <w:szCs w:val="24"/>
          <w:lang w:eastAsia="en-GB"/>
        </w:rPr>
        <w:instrText xml:space="preserve"> REF _Ref381609211</w:instrText>
      </w:r>
      <w:r>
        <w:rPr>
          <w:rFonts w:ascii="Times New Roman" w:eastAsia="Times New Roman" w:hAnsi="Times New Roman" w:cs="Times New Roman"/>
          <w:noProof/>
          <w:sz w:val="24"/>
          <w:szCs w:val="24"/>
          <w:lang w:eastAsia="en-GB"/>
        </w:rPr>
        <w:instrText xml:space="preserve"> \h  \* MERGEFORMAT </w:instrText>
      </w:r>
      <w:r>
        <w:rPr>
          <w:rFonts w:ascii="Times New Roman" w:eastAsia="Times New Roman" w:hAnsi="Times New Roman" w:cs="Times New Roman"/>
          <w:noProof/>
          <w:sz w:val="24"/>
          <w:szCs w:val="24"/>
          <w:lang w:eastAsia="en-GB"/>
        </w:rPr>
      </w:r>
      <w:r>
        <w:rPr>
          <w:rFonts w:ascii="Times New Roman" w:eastAsia="Times New Roman" w:hAnsi="Times New Roman" w:cs="Times New Roman"/>
          <w:noProof/>
          <w:sz w:val="24"/>
          <w:szCs w:val="24"/>
          <w:lang w:eastAsia="en-GB"/>
        </w:rPr>
        <w:fldChar w:fldCharType="separate"/>
      </w:r>
      <w:r>
        <w:rPr>
          <w:rFonts w:ascii="Times New Roman" w:eastAsia="Times New Roman" w:hAnsi="Times New Roman" w:cs="Times New Roman"/>
          <w:noProof/>
          <w:sz w:val="24"/>
          <w:szCs w:val="24"/>
          <w:lang w:eastAsia="en-GB"/>
        </w:rPr>
        <w:t>Table 6</w:t>
      </w:r>
      <w:r>
        <w:rPr>
          <w:rFonts w:ascii="Times New Roman" w:eastAsia="Times New Roman" w:hAnsi="Times New Roman" w:cs="Times New Roman"/>
          <w:noProof/>
          <w:sz w:val="24"/>
          <w:szCs w:val="24"/>
          <w:lang w:eastAsia="en-GB"/>
        </w:rPr>
        <w:fldChar w:fldCharType="end"/>
      </w:r>
      <w:r>
        <w:rPr>
          <w:rFonts w:ascii="Times New Roman" w:eastAsia="Times New Roman" w:hAnsi="Times New Roman" w:cs="Times New Roman"/>
          <w:noProof/>
          <w:sz w:val="24"/>
          <w:szCs w:val="24"/>
          <w:lang w:eastAsia="en-GB"/>
        </w:rPr>
        <w:t>, the efficiency question also problematizes the existence of equivalent national programmes/funding</w:t>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4"/>
          <w:lang w:eastAsia="en-GB"/>
        </w:rPr>
        <w:t xml:space="preserve">to REGPOT. Most respondents claim that there are no or only </w:t>
      </w:r>
      <w:r>
        <w:rPr>
          <w:rFonts w:ascii="Times New Roman" w:eastAsia="Times New Roman" w:hAnsi="Times New Roman" w:cs="Times New Roman"/>
          <w:noProof/>
          <w:sz w:val="24"/>
          <w:szCs w:val="24"/>
          <w:lang w:eastAsia="en-GB"/>
        </w:rPr>
        <w:t>little equivalent national programmes/funding aside from REGPOT. Furthermore, the respondents provide a number of examples of financial barriers that REGPOT has helped to overcome. While the recent economic crises have put general pressure on national rese</w:t>
      </w:r>
      <w:r>
        <w:rPr>
          <w:rFonts w:ascii="Times New Roman" w:eastAsia="Times New Roman" w:hAnsi="Times New Roman" w:cs="Times New Roman"/>
          <w:noProof/>
          <w:sz w:val="24"/>
          <w:szCs w:val="24"/>
          <w:lang w:eastAsia="en-GB"/>
        </w:rPr>
        <w:t>arch and development funding sources, the examples include a lack of national and in particular regional funding for specialised state-of-the-art research equipment as well as for the hiring of high-level staff, hereunder foreign experts. Furthermore, many</w:t>
      </w:r>
      <w:r>
        <w:rPr>
          <w:rFonts w:ascii="Times New Roman" w:eastAsia="Times New Roman" w:hAnsi="Times New Roman" w:cs="Times New Roman"/>
          <w:noProof/>
          <w:sz w:val="24"/>
          <w:szCs w:val="24"/>
          <w:lang w:eastAsia="en-GB"/>
        </w:rPr>
        <w:t xml:space="preserve"> research actors did previously experience very few funds available for conference participation and networking.</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Several respondents have also found that REGPOT has helped alleviate the financial constraints of younger researchers, which in turn has helped</w:t>
      </w:r>
      <w:r>
        <w:rPr>
          <w:rFonts w:ascii="Times New Roman" w:eastAsia="Times New Roman" w:hAnsi="Times New Roman" w:cs="Times New Roman"/>
          <w:noProof/>
          <w:sz w:val="24"/>
          <w:szCs w:val="24"/>
          <w:lang w:eastAsia="en-GB"/>
        </w:rPr>
        <w:t xml:space="preserve"> their career developments, herein by increasing their mobility within the twinning arrangements between REGPOT project partners. </w:t>
      </w:r>
    </w:p>
    <w:p w:rsidR="00E535A0" w:rsidRDefault="00C953F5">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Finally, REGPOT has for some research actors allowed the employment of Intellectual Property (IP) managers and experts with e</w:t>
      </w:r>
      <w:r>
        <w:rPr>
          <w:rFonts w:ascii="Times New Roman" w:eastAsia="Times New Roman" w:hAnsi="Times New Roman" w:cs="Times New Roman"/>
          <w:noProof/>
          <w:sz w:val="24"/>
          <w:szCs w:val="24"/>
          <w:lang w:eastAsia="en-GB"/>
        </w:rPr>
        <w:t>xperience in international project applications – hereunder for support from the EU Structural Funds. This has for some research actors also allowed a shift in the focus of the research towards more interdisciplinary research.</w:t>
      </w:r>
    </w:p>
    <w:p w:rsidR="00E535A0" w:rsidRDefault="00C953F5">
      <w:pPr>
        <w:keepNext/>
        <w:keepLines/>
        <w:spacing w:line="240" w:lineRule="auto"/>
        <w:jc w:val="both"/>
        <w:rPr>
          <w:rFonts w:ascii="Times New Roman" w:eastAsia="Times New Roman" w:hAnsi="Times New Roman" w:cs="Times New Roman"/>
          <w:b/>
          <w:bCs/>
          <w:noProof/>
          <w:sz w:val="24"/>
          <w:szCs w:val="24"/>
          <w:lang w:eastAsia="en-GB"/>
        </w:rPr>
      </w:pPr>
      <w:bookmarkStart w:id="17" w:name="_Ref381609211"/>
      <w:r>
        <w:rPr>
          <w:rFonts w:ascii="Times New Roman" w:eastAsia="Times New Roman" w:hAnsi="Times New Roman" w:cs="Times New Roman"/>
          <w:b/>
          <w:bCs/>
          <w:noProof/>
          <w:sz w:val="24"/>
          <w:szCs w:val="24"/>
          <w:lang w:eastAsia="en-GB"/>
        </w:rPr>
        <w:t xml:space="preserve">Table </w:t>
      </w:r>
      <w:r>
        <w:rPr>
          <w:rFonts w:ascii="Times New Roman" w:eastAsia="Times New Roman" w:hAnsi="Times New Roman" w:cs="Times New Roman"/>
          <w:b/>
          <w:bCs/>
          <w:noProof/>
          <w:sz w:val="24"/>
          <w:szCs w:val="24"/>
          <w:lang w:eastAsia="en-GB"/>
        </w:rPr>
        <w:fldChar w:fldCharType="begin"/>
      </w:r>
      <w:r>
        <w:rPr>
          <w:rFonts w:ascii="Times New Roman" w:eastAsia="Times New Roman" w:hAnsi="Times New Roman" w:cs="Times New Roman"/>
          <w:b/>
          <w:bCs/>
          <w:noProof/>
          <w:sz w:val="24"/>
          <w:szCs w:val="24"/>
          <w:lang w:eastAsia="en-GB"/>
        </w:rPr>
        <w:instrText xml:space="preserve"> SEQ Table \* ARABIC </w:instrText>
      </w:r>
      <w:r>
        <w:rPr>
          <w:rFonts w:ascii="Times New Roman" w:eastAsia="Times New Roman" w:hAnsi="Times New Roman" w:cs="Times New Roman"/>
          <w:b/>
          <w:bCs/>
          <w:noProof/>
          <w:sz w:val="24"/>
          <w:szCs w:val="24"/>
          <w:lang w:eastAsia="en-GB"/>
        </w:rPr>
        <w:fldChar w:fldCharType="separate"/>
      </w:r>
      <w:r>
        <w:rPr>
          <w:rFonts w:ascii="Times New Roman" w:eastAsia="Times New Roman" w:hAnsi="Times New Roman" w:cs="Times New Roman"/>
          <w:b/>
          <w:bCs/>
          <w:noProof/>
          <w:sz w:val="24"/>
          <w:szCs w:val="24"/>
          <w:lang w:eastAsia="en-GB"/>
        </w:rPr>
        <w:t>6</w:t>
      </w:r>
      <w:r>
        <w:rPr>
          <w:rFonts w:ascii="Times New Roman" w:eastAsia="Times New Roman" w:hAnsi="Times New Roman" w:cs="Times New Roman"/>
          <w:b/>
          <w:bCs/>
          <w:noProof/>
          <w:sz w:val="24"/>
          <w:szCs w:val="24"/>
          <w:lang w:eastAsia="en-GB"/>
        </w:rPr>
        <w:fldChar w:fldCharType="end"/>
      </w:r>
      <w:bookmarkEnd w:id="17"/>
      <w:r>
        <w:rPr>
          <w:rFonts w:ascii="Times New Roman" w:eastAsia="Times New Roman" w:hAnsi="Times New Roman" w:cs="Times New Roman"/>
          <w:b/>
          <w:bCs/>
          <w:noProof/>
          <w:sz w:val="24"/>
          <w:szCs w:val="24"/>
          <w:lang w:eastAsia="en-GB"/>
        </w:rPr>
        <w:t>:</w:t>
      </w:r>
      <w:r>
        <w:rPr>
          <w:rFonts w:ascii="Times New Roman" w:eastAsia="Times New Roman" w:hAnsi="Times New Roman" w:cs="Times New Roman"/>
          <w:b/>
          <w:bCs/>
          <w:noProof/>
          <w:sz w:val="24"/>
          <w:szCs w:val="24"/>
          <w:lang w:eastAsia="en-GB"/>
        </w:rPr>
        <w:tab/>
        <w:t>Existence of equivalent national programmes/funding to REGPOT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4163"/>
      </w:tblGrid>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Research theme</w:t>
            </w:r>
          </w:p>
        </w:tc>
        <w:tc>
          <w:tcPr>
            <w:tcW w:w="4253"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b/>
                <w:noProof/>
                <w:sz w:val="18"/>
                <w:szCs w:val="18"/>
                <w:lang w:eastAsia="en-GB"/>
              </w:rPr>
            </w:pPr>
            <w:r>
              <w:rPr>
                <w:rFonts w:ascii="Times New Roman" w:eastAsia="Times New Roman" w:hAnsi="Times New Roman" w:cs="Times New Roman"/>
                <w:b/>
                <w:noProof/>
                <w:sz w:val="18"/>
                <w:szCs w:val="18"/>
                <w:lang w:eastAsia="en-GB"/>
              </w:rPr>
              <w:t>Average scores</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Agriculture</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1.29</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Biotechnology and genetics</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1.00</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Energy</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0.67</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Environment</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0.50</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Information and Communication Technologies (ICT)</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0.54</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Material, engineering,</w:t>
            </w:r>
            <w:r>
              <w:rPr>
                <w:rFonts w:ascii="Times New Roman" w:eastAsia="Times New Roman" w:hAnsi="Times New Roman" w:cs="Times New Roman"/>
                <w:noProof/>
                <w:sz w:val="18"/>
                <w:szCs w:val="18"/>
                <w:lang w:eastAsia="en-GB"/>
              </w:rPr>
              <w:t xml:space="preserve"> space and transport</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1.17</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Medical sciences</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0.41</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Physics and chemistry</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1.00</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Socio-economic sciences</w:t>
            </w:r>
            <w:r>
              <w:rPr>
                <w:rFonts w:ascii="Times New Roman" w:eastAsia="Times New Roman" w:hAnsi="Times New Roman" w:cs="Times New Roman"/>
                <w:noProof/>
                <w:sz w:val="18"/>
                <w:szCs w:val="18"/>
                <w:vertAlign w:val="superscript"/>
                <w:lang w:eastAsia="en-GB"/>
              </w:rPr>
              <w:t>(1)</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0.00</w:t>
            </w:r>
          </w:p>
        </w:tc>
      </w:tr>
      <w:tr w:rsidR="00E535A0">
        <w:tc>
          <w:tcPr>
            <w:tcW w:w="4644" w:type="dxa"/>
            <w:shd w:val="clear" w:color="auto" w:fill="auto"/>
          </w:tcPr>
          <w:p w:rsidR="00E535A0" w:rsidRDefault="00C953F5">
            <w:pPr>
              <w:keepNext/>
              <w:keepLines/>
              <w:spacing w:before="40" w:after="40" w:line="240" w:lineRule="auto"/>
              <w:jc w:val="both"/>
              <w:rPr>
                <w:rFonts w:ascii="Times New Roman" w:eastAsia="Times New Roman" w:hAnsi="Times New Roman" w:cs="Times New Roman"/>
                <w:b/>
                <w:bCs/>
                <w:noProof/>
                <w:sz w:val="18"/>
                <w:szCs w:val="18"/>
                <w:lang w:eastAsia="en-GB"/>
              </w:rPr>
            </w:pPr>
            <w:r>
              <w:rPr>
                <w:rFonts w:ascii="Times New Roman" w:eastAsia="Times New Roman" w:hAnsi="Times New Roman" w:cs="Times New Roman"/>
                <w:b/>
                <w:noProof/>
                <w:sz w:val="18"/>
                <w:szCs w:val="18"/>
                <w:lang w:eastAsia="en-GB"/>
              </w:rPr>
              <w:t>Total</w:t>
            </w:r>
          </w:p>
        </w:tc>
        <w:tc>
          <w:tcPr>
            <w:tcW w:w="4253" w:type="dxa"/>
            <w:shd w:val="clear" w:color="auto" w:fill="auto"/>
            <w:vAlign w:val="center"/>
          </w:tcPr>
          <w:p w:rsidR="00E535A0" w:rsidRDefault="00C953F5">
            <w:pPr>
              <w:spacing w:line="240" w:lineRule="auto"/>
              <w:jc w:val="both"/>
              <w:rPr>
                <w:rFonts w:ascii="Times New Roman" w:eastAsia="Times New Roman" w:hAnsi="Times New Roman" w:cs="Times New Roman"/>
                <w:b/>
                <w:bCs/>
                <w:noProof/>
                <w:sz w:val="18"/>
                <w:szCs w:val="18"/>
                <w:lang w:eastAsia="en-GB"/>
              </w:rPr>
            </w:pPr>
            <w:r>
              <w:rPr>
                <w:rFonts w:ascii="Times New Roman" w:eastAsia="Times New Roman" w:hAnsi="Times New Roman" w:cs="Times New Roman"/>
                <w:b/>
                <w:bCs/>
                <w:noProof/>
                <w:sz w:val="18"/>
                <w:szCs w:val="18"/>
                <w:lang w:eastAsia="en-GB"/>
              </w:rPr>
              <w:t>0.78</w:t>
            </w:r>
          </w:p>
        </w:tc>
      </w:tr>
    </w:tbl>
    <w:p w:rsidR="00E535A0" w:rsidRDefault="00C953F5">
      <w:pPr>
        <w:spacing w:after="0"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lang w:eastAsia="en-GB"/>
        </w:rPr>
        <w:t>Source:</w:t>
      </w:r>
      <w:r>
        <w:rPr>
          <w:rFonts w:ascii="Times New Roman" w:eastAsia="Times New Roman" w:hAnsi="Times New Roman" w:cs="Times New Roman"/>
          <w:noProof/>
          <w:sz w:val="18"/>
          <w:szCs w:val="18"/>
          <w:lang w:eastAsia="en-GB"/>
        </w:rPr>
        <w:tab/>
      </w:r>
      <w:r>
        <w:rPr>
          <w:rFonts w:ascii="Times New Roman" w:eastAsia="Times New Roman" w:hAnsi="Times New Roman" w:cs="Times New Roman"/>
          <w:noProof/>
          <w:sz w:val="18"/>
          <w:szCs w:val="18"/>
          <w:lang w:eastAsia="en-GB"/>
        </w:rPr>
        <w:tab/>
        <w:t>COWI.</w:t>
      </w:r>
      <w:r>
        <w:rPr>
          <w:rFonts w:ascii="Times New Roman" w:eastAsia="Times New Roman" w:hAnsi="Times New Roman" w:cs="Times New Roman"/>
          <w:noProof/>
          <w:sz w:val="18"/>
          <w:szCs w:val="18"/>
          <w:lang w:eastAsia="en-GB"/>
        </w:rPr>
        <w:br/>
        <w:t>Notes:</w:t>
      </w:r>
      <w:r>
        <w:rPr>
          <w:rFonts w:ascii="Times New Roman" w:eastAsia="Times New Roman" w:hAnsi="Times New Roman" w:cs="Times New Roman"/>
          <w:noProof/>
          <w:sz w:val="18"/>
          <w:szCs w:val="18"/>
          <w:lang w:eastAsia="en-GB"/>
        </w:rPr>
        <w:tab/>
      </w:r>
      <w:r>
        <w:rPr>
          <w:rFonts w:ascii="Times New Roman" w:eastAsia="Times New Roman" w:hAnsi="Times New Roman" w:cs="Times New Roman"/>
          <w:noProof/>
          <w:sz w:val="18"/>
          <w:szCs w:val="18"/>
          <w:lang w:eastAsia="en-GB"/>
        </w:rPr>
        <w:tab/>
        <w:t xml:space="preserve">Scoring system: </w:t>
      </w:r>
      <w:r>
        <w:rPr>
          <w:rFonts w:ascii="Times New Roman" w:eastAsia="Times New Roman" w:hAnsi="Times New Roman" w:cs="Times New Roman"/>
          <w:i/>
          <w:noProof/>
          <w:sz w:val="18"/>
          <w:szCs w:val="18"/>
          <w:lang w:eastAsia="en-GB"/>
        </w:rPr>
        <w:t xml:space="preserve">0 = no national programmes/funding, 1 = little, 2 = some, </w:t>
      </w:r>
      <w:r>
        <w:rPr>
          <w:rFonts w:ascii="Times New Roman" w:eastAsia="Times New Roman" w:hAnsi="Times New Roman" w:cs="Times New Roman"/>
          <w:i/>
          <w:noProof/>
          <w:sz w:val="18"/>
          <w:szCs w:val="18"/>
          <w:lang w:eastAsia="en-GB"/>
        </w:rPr>
        <w:br/>
      </w:r>
      <w:r>
        <w:rPr>
          <w:rFonts w:ascii="Times New Roman" w:eastAsia="Times New Roman" w:hAnsi="Times New Roman" w:cs="Times New Roman"/>
          <w:i/>
          <w:noProof/>
          <w:sz w:val="18"/>
          <w:szCs w:val="18"/>
          <w:lang w:eastAsia="en-GB"/>
        </w:rPr>
        <w:tab/>
      </w:r>
      <w:r>
        <w:rPr>
          <w:rFonts w:ascii="Times New Roman" w:eastAsia="Times New Roman" w:hAnsi="Times New Roman" w:cs="Times New Roman"/>
          <w:i/>
          <w:noProof/>
          <w:sz w:val="18"/>
          <w:szCs w:val="18"/>
          <w:lang w:eastAsia="en-GB"/>
        </w:rPr>
        <w:tab/>
        <w:t>3 = much</w:t>
      </w:r>
      <w:r>
        <w:rPr>
          <w:rFonts w:ascii="Times New Roman" w:eastAsia="Times New Roman" w:hAnsi="Times New Roman" w:cs="Times New Roman"/>
          <w:noProof/>
          <w:sz w:val="18"/>
          <w:szCs w:val="18"/>
          <w:lang w:eastAsia="en-GB"/>
        </w:rPr>
        <w:t>.</w:t>
      </w:r>
    </w:p>
    <w:p w:rsidR="00E535A0" w:rsidRDefault="00C953F5">
      <w:pPr>
        <w:spacing w:line="240" w:lineRule="auto"/>
        <w:jc w:val="both"/>
        <w:rPr>
          <w:rFonts w:ascii="Times New Roman" w:eastAsia="Times New Roman" w:hAnsi="Times New Roman" w:cs="Times New Roman"/>
          <w:noProof/>
          <w:sz w:val="18"/>
          <w:szCs w:val="18"/>
          <w:lang w:eastAsia="en-GB"/>
        </w:rPr>
      </w:pPr>
      <w:r>
        <w:rPr>
          <w:rFonts w:ascii="Times New Roman" w:eastAsia="Times New Roman" w:hAnsi="Times New Roman" w:cs="Times New Roman"/>
          <w:noProof/>
          <w:sz w:val="18"/>
          <w:szCs w:val="18"/>
          <w:vertAlign w:val="superscript"/>
          <w:lang w:eastAsia="en-GB"/>
        </w:rPr>
        <w:tab/>
      </w:r>
      <w:r>
        <w:rPr>
          <w:rFonts w:ascii="Times New Roman" w:eastAsia="Times New Roman" w:hAnsi="Times New Roman" w:cs="Times New Roman"/>
          <w:noProof/>
          <w:sz w:val="18"/>
          <w:szCs w:val="18"/>
          <w:vertAlign w:val="superscript"/>
          <w:lang w:eastAsia="en-GB"/>
        </w:rPr>
        <w:tab/>
        <w:t>(1)</w:t>
      </w:r>
      <w:r>
        <w:rPr>
          <w:rFonts w:ascii="Times New Roman" w:eastAsia="Times New Roman" w:hAnsi="Times New Roman" w:cs="Times New Roman"/>
          <w:noProof/>
          <w:sz w:val="18"/>
          <w:szCs w:val="18"/>
          <w:lang w:eastAsia="en-GB"/>
        </w:rPr>
        <w:t xml:space="preserve">The answers for </w:t>
      </w:r>
      <w:r>
        <w:rPr>
          <w:rFonts w:ascii="Times New Roman" w:eastAsia="Times New Roman" w:hAnsi="Times New Roman" w:cs="Times New Roman"/>
          <w:noProof/>
          <w:sz w:val="18"/>
          <w:szCs w:val="18"/>
          <w:lang w:eastAsia="en-GB"/>
        </w:rPr>
        <w:t>“socio-economic sciences” are based on one response only.</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the results of REGPOT contribute to the achievements of the new Commission's priorities?</w:t>
      </w:r>
    </w:p>
    <w:p w:rsidR="00E535A0" w:rsidRDefault="00C953F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Specific links and synergies with Cohesion policy in the regions involved were always sought </w:t>
      </w:r>
      <w:r>
        <w:rPr>
          <w:rFonts w:ascii="Times New Roman" w:hAnsi="Times New Roman" w:cs="Times New Roman"/>
          <w:noProof/>
          <w:sz w:val="24"/>
          <w:szCs w:val="24"/>
        </w:rPr>
        <w:t xml:space="preserve">in REGPOT. Synergies with other policy areas were promoted in particular with the Regional Policy and its Structural Funds. </w:t>
      </w:r>
      <w:r>
        <w:rPr>
          <w:rFonts w:ascii="Times New Roman" w:hAnsi="Times New Roman" w:cs="Times New Roman"/>
          <w:noProof/>
          <w:sz w:val="24"/>
          <w:szCs w:val="24"/>
          <w:lang w:val="en-US"/>
        </w:rPr>
        <w:t>The EC organised a stocktaking seminar in July 2013 during which Regpot project coordinators shared their experience of alignment of</w:t>
      </w:r>
      <w:r>
        <w:rPr>
          <w:rFonts w:ascii="Times New Roman" w:hAnsi="Times New Roman" w:cs="Times New Roman"/>
          <w:noProof/>
          <w:sz w:val="24"/>
          <w:szCs w:val="24"/>
          <w:lang w:val="en-US"/>
        </w:rPr>
        <w:t xml:space="preserve"> FP and </w:t>
      </w:r>
      <w:r>
        <w:rPr>
          <w:rFonts w:ascii="Times New Roman" w:hAnsi="Times New Roman" w:cs="Times New Roman"/>
          <w:noProof/>
          <w:sz w:val="24"/>
          <w:szCs w:val="24"/>
        </w:rPr>
        <w:t>Structural Funds. Multiple examples of such synergies were identified which is a proof of complementarity of these two policies.</w:t>
      </w:r>
    </w:p>
    <w:p w:rsidR="00E535A0" w:rsidRDefault="00C953F5">
      <w:pPr>
        <w:spacing w:line="240" w:lineRule="auto"/>
        <w:rPr>
          <w:rFonts w:eastAsiaTheme="majorEastAsia"/>
          <w:bCs/>
          <w:noProof/>
          <w:sz w:val="26"/>
          <w:szCs w:val="26"/>
        </w:rPr>
      </w:pPr>
      <w:r>
        <w:rPr>
          <w:rFonts w:eastAsiaTheme="majorEastAsia"/>
          <w:bCs/>
          <w:noProof/>
          <w:sz w:val="26"/>
          <w:szCs w:val="26"/>
        </w:rPr>
        <w:br w:type="page"/>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 xml:space="preserve">13.5. </w:t>
      </w:r>
      <w:hyperlink r:id="rId63" w:history="1">
        <w:r>
          <w:rPr>
            <w:rFonts w:ascii="Times New Roman" w:eastAsiaTheme="majorEastAsia" w:hAnsi="Times New Roman" w:cs="Times New Roman"/>
            <w:b/>
            <w:bCs/>
            <w:noProof/>
            <w:sz w:val="24"/>
            <w:szCs w:val="24"/>
          </w:rPr>
          <w:t>Science in Society</w:t>
        </w:r>
      </w:hyperlink>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SiS </w:t>
      </w:r>
      <w:r>
        <w:rPr>
          <w:rFonts w:ascii="Times New Roman" w:hAnsi="Times New Roman" w:cs="Times New Roman"/>
          <w:b/>
          <w:noProof/>
          <w:sz w:val="24"/>
          <w:szCs w:val="24"/>
        </w:rPr>
        <w:t>contribute to improve the coordination of European, national and regional research policies?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‘public engagement’, the programmes made advances in establishing new ways to engage, in particular, civil society organisations and public bodies at local and</w:t>
      </w:r>
      <w:r>
        <w:rPr>
          <w:rFonts w:ascii="Times New Roman" w:hAnsi="Times New Roman" w:cs="Times New Roman"/>
          <w:noProof/>
          <w:sz w:val="24"/>
          <w:szCs w:val="24"/>
        </w:rPr>
        <w:t xml:space="preserve"> regional levels.  The development of Mobilisation and Mutual Learning (MML) Action Plans have resulted in closer interaction between scientists, policymakers and CSOs in key policy areas, and provide an effective model for enhanced integration of stakehol</w:t>
      </w:r>
      <w:r>
        <w:rPr>
          <w:rFonts w:ascii="Times New Roman" w:hAnsi="Times New Roman" w:cs="Times New Roman"/>
          <w:noProof/>
          <w:sz w:val="24"/>
          <w:szCs w:val="24"/>
        </w:rPr>
        <w:t xml:space="preserve">ders in European research.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greatest impact of the SiS programme has been to raise the political importance of science in society at the European level, and thereby raise awareness of the problems and the need for all actors to work together to resolv</w:t>
      </w:r>
      <w:r>
        <w:rPr>
          <w:rFonts w:ascii="Times New Roman" w:hAnsi="Times New Roman" w:cs="Times New Roman"/>
          <w:noProof/>
          <w:sz w:val="24"/>
          <w:szCs w:val="24"/>
        </w:rPr>
        <w:t>e them. However, policymakers including national officials found it difficult to engage with the large volume of work carried out across a wide number of themes, and general awareness of the key achievements of the programme remains low among key audiences</w:t>
      </w:r>
      <w:r>
        <w:rPr>
          <w:rFonts w:ascii="Times New Roman" w:hAnsi="Times New Roman" w:cs="Times New Roman"/>
          <w:noProof/>
          <w:sz w:val="24"/>
          <w:szCs w:val="24"/>
        </w:rPr>
        <w:t>. A ‘gap’ emerged in terms of efforts to appraise, aggregate and package the programme’s content and results into a digestible form and to disseminate this information widely to relevant audiences. To address this gap, a number of projects from 2012-2013 c</w:t>
      </w:r>
      <w:r>
        <w:rPr>
          <w:rFonts w:ascii="Times New Roman" w:hAnsi="Times New Roman" w:cs="Times New Roman"/>
          <w:noProof/>
          <w:sz w:val="24"/>
          <w:szCs w:val="24"/>
        </w:rPr>
        <w:t>alls (e.g. RRI Tools, Responsibility, RES-Agora, Great and RRI Industry) were very active in mobilise the science/society community and to build overall capacity, in addition to providing research and support activity.</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Science in Society activity prov</w:t>
      </w:r>
      <w:r>
        <w:rPr>
          <w:rFonts w:ascii="Times New Roman" w:hAnsi="Times New Roman" w:cs="Times New Roman"/>
          <w:noProof/>
          <w:sz w:val="24"/>
          <w:szCs w:val="24"/>
        </w:rPr>
        <w:t>ed effective in engaging policy-makers and other societal stakeholders. It is the only programme in the EU supporting EU-wide coordination and collaboration in SiS research. It also provides a platform through which major pan-European initiatives and netwo</w:t>
      </w:r>
      <w:r>
        <w:rPr>
          <w:rFonts w:ascii="Times New Roman" w:hAnsi="Times New Roman" w:cs="Times New Roman"/>
          <w:noProof/>
          <w:sz w:val="24"/>
          <w:szCs w:val="24"/>
        </w:rPr>
        <w:t>rks can be established and supported, leading to greater coordination of research efforts, more extensive and diverse collaborative activities, and a greater critical mass of effort to address key challenges relating to Science in Society.</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xml:space="preserve"> </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Science educat</w:t>
      </w:r>
      <w:r>
        <w:rPr>
          <w:rFonts w:ascii="Times New Roman" w:eastAsia="Times New Roman" w:hAnsi="Times New Roman" w:cs="Times New Roman"/>
          <w:noProof/>
          <w:sz w:val="24"/>
          <w:szCs w:val="24"/>
        </w:rPr>
        <w:t>ion projects raised significant awareness and sparked smaller initiatives at various national levels, which provide an encouraging basis for impact. One such gain has been the strong interest that a German federal body in charge of teacher training has sho</w:t>
      </w:r>
      <w:r>
        <w:rPr>
          <w:rFonts w:ascii="Times New Roman" w:eastAsia="Times New Roman" w:hAnsi="Times New Roman" w:cs="Times New Roman"/>
          <w:noProof/>
          <w:sz w:val="24"/>
          <w:szCs w:val="24"/>
        </w:rPr>
        <w:t>wn in developing the materials PRIMAS project within its own context.</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Table below shows the success rates achieved by each type of organisation in FP7 overall, and within SiS specifically.  At the level of FP7 as a whole, Research organisations (REC), Publ</w:t>
      </w:r>
      <w:r>
        <w:rPr>
          <w:rFonts w:ascii="Times New Roman" w:eastAsia="Times New Roman" w:hAnsi="Times New Roman" w:cs="Times New Roman"/>
          <w:noProof/>
          <w:sz w:val="24"/>
          <w:szCs w:val="24"/>
        </w:rPr>
        <w:t xml:space="preserve">ic bodies (PUB) and Private commercial organisations (PRC) achieved the highest success rates (28%, 26% and 25% respectively), closely followed by Higher or secondary education institutions (HES) at 22%.  In comparison, the “other” category (OTH) achieved </w:t>
      </w:r>
      <w:r>
        <w:rPr>
          <w:rFonts w:ascii="Times New Roman" w:eastAsia="Times New Roman" w:hAnsi="Times New Roman" w:cs="Times New Roman"/>
          <w:noProof/>
          <w:sz w:val="24"/>
          <w:szCs w:val="24"/>
        </w:rPr>
        <w:t xml:space="preserve">very low success rates across FP7 (10%), with only one in every ten proposal participations resulting in a positive funding decision.  </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picture within SiS is rather different, with all organisation types achieving a success rate of at least 21%.  REC a</w:t>
      </w:r>
      <w:r>
        <w:rPr>
          <w:rFonts w:ascii="Times New Roman" w:eastAsia="Times New Roman" w:hAnsi="Times New Roman" w:cs="Times New Roman"/>
          <w:noProof/>
          <w:sz w:val="24"/>
          <w:szCs w:val="24"/>
        </w:rPr>
        <w:t xml:space="preserve">chieved the highest success rate in SiS, with 30% of proposal participations resulting in a positive decision.  PRC, PUB, OTH and HES achieved success rates of 24%, 23%, 22% and 21% respectively, all close to the SiS average of 23%.  </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Considering both dema</w:t>
      </w:r>
      <w:r>
        <w:rPr>
          <w:rFonts w:ascii="Times New Roman" w:eastAsia="Times New Roman" w:hAnsi="Times New Roman" w:cs="Times New Roman"/>
          <w:noProof/>
          <w:sz w:val="24"/>
          <w:szCs w:val="24"/>
        </w:rPr>
        <w:t xml:space="preserve">nd for participation and success rates, it is notable that OTH had both a high participation rate in SiS proposals and a high success rate in SiS, when compared to the picture for FP7 as a whole.  This high level of participation in proposals coupled to a </w:t>
      </w:r>
      <w:r>
        <w:rPr>
          <w:rFonts w:ascii="Times New Roman" w:eastAsia="Times New Roman" w:hAnsi="Times New Roman" w:cs="Times New Roman"/>
          <w:noProof/>
          <w:sz w:val="24"/>
          <w:szCs w:val="24"/>
        </w:rPr>
        <w:t>high success rate means that OTH constituted 16% of the project participations in SiS, as compared to just 3% of the project partic</w:t>
      </w:r>
      <w:bookmarkStart w:id="18" w:name="_Ref293079758"/>
      <w:bookmarkStart w:id="19" w:name="_Toc293337379"/>
      <w:bookmarkStart w:id="20" w:name="_Toc422124771"/>
      <w:r>
        <w:rPr>
          <w:rFonts w:ascii="Times New Roman" w:eastAsia="Times New Roman" w:hAnsi="Times New Roman" w:cs="Times New Roman"/>
          <w:noProof/>
          <w:sz w:val="24"/>
          <w:szCs w:val="24"/>
        </w:rPr>
        <w:t>ipations across FP7 as a whole.</w:t>
      </w:r>
    </w:p>
    <w:p w:rsidR="00E535A0" w:rsidRDefault="00C953F5">
      <w:pPr>
        <w:spacing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Success rates in FP7 overall and in SiS, by organisation type</w:t>
      </w:r>
      <w:r>
        <w:rPr>
          <w:rFonts w:ascii="Times New Roman" w:eastAsia="Times New Roman" w:hAnsi="Times New Roman" w:cs="Times New Roman"/>
          <w:b/>
          <w:noProof/>
          <w:sz w:val="24"/>
          <w:szCs w:val="24"/>
          <w:vertAlign w:val="superscript"/>
        </w:rPr>
        <w:footnoteReference w:id="36"/>
      </w:r>
      <w:bookmarkEnd w:id="18"/>
      <w:bookmarkEnd w:id="19"/>
      <w:bookmarkEnd w:id="20"/>
    </w:p>
    <w:tbl>
      <w:tblPr>
        <w:tblW w:w="8149" w:type="dxa"/>
        <w:tblInd w:w="3"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shd w:val="clear" w:color="auto" w:fill="FFFFFF" w:themeFill="background1"/>
        <w:tblLayout w:type="fixed"/>
        <w:tblCellMar>
          <w:top w:w="14" w:type="dxa"/>
          <w:left w:w="0" w:type="dxa"/>
          <w:bottom w:w="14" w:type="dxa"/>
          <w:right w:w="0" w:type="dxa"/>
        </w:tblCellMar>
        <w:tblLook w:val="04A0" w:firstRow="1" w:lastRow="0" w:firstColumn="1" w:lastColumn="0" w:noHBand="0" w:noVBand="1"/>
      </w:tblPr>
      <w:tblGrid>
        <w:gridCol w:w="3289"/>
        <w:gridCol w:w="990"/>
        <w:gridCol w:w="900"/>
        <w:gridCol w:w="720"/>
        <w:gridCol w:w="810"/>
        <w:gridCol w:w="720"/>
        <w:gridCol w:w="720"/>
      </w:tblGrid>
      <w:tr w:rsidR="00E535A0">
        <w:trPr>
          <w:cantSplit/>
          <w:tblHeader/>
        </w:trPr>
        <w:tc>
          <w:tcPr>
            <w:tcW w:w="3289" w:type="dxa"/>
            <w:vMerge w:val="restart"/>
            <w:shd w:val="clear" w:color="auto" w:fill="FFFFFF" w:themeFill="background1"/>
            <w:noWrap/>
            <w:vAlign w:val="center"/>
            <w:hideMark/>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Organisation type</w:t>
            </w:r>
          </w:p>
        </w:tc>
        <w:tc>
          <w:tcPr>
            <w:tcW w:w="2610" w:type="dxa"/>
            <w:gridSpan w:val="3"/>
            <w:tcBorders>
              <w:right w:val="single" w:sz="2" w:space="0" w:color="FFFFFF" w:themeColor="background1"/>
            </w:tcBorders>
            <w:shd w:val="clear" w:color="auto" w:fill="0070C0"/>
            <w:noWrap/>
            <w:vAlign w:val="center"/>
            <w:hideMark/>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FP7 overall</w:t>
            </w:r>
          </w:p>
        </w:tc>
        <w:tc>
          <w:tcPr>
            <w:tcW w:w="2250" w:type="dxa"/>
            <w:gridSpan w:val="3"/>
            <w:tcBorders>
              <w:left w:val="single" w:sz="2" w:space="0" w:color="FFFFFF" w:themeColor="background1"/>
            </w:tcBorders>
            <w:shd w:val="clear" w:color="auto" w:fill="0070C0"/>
            <w:vAlign w:val="center"/>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SiS</w:t>
            </w:r>
          </w:p>
        </w:tc>
      </w:tr>
      <w:tr w:rsidR="00E535A0">
        <w:trPr>
          <w:cantSplit/>
          <w:trHeight w:val="1570"/>
          <w:tblHeader/>
        </w:trPr>
        <w:tc>
          <w:tcPr>
            <w:tcW w:w="3289" w:type="dxa"/>
            <w:vMerge/>
            <w:shd w:val="clear" w:color="auto" w:fill="FFFFFF" w:themeFill="background1"/>
            <w:noWrap/>
            <w:vAlign w:val="center"/>
            <w:hideMark/>
          </w:tcPr>
          <w:p w:rsidR="00E535A0" w:rsidRDefault="00E535A0">
            <w:pPr>
              <w:spacing w:line="240" w:lineRule="auto"/>
              <w:jc w:val="both"/>
              <w:rPr>
                <w:rFonts w:ascii="Times New Roman" w:eastAsia="Times New Roman" w:hAnsi="Times New Roman" w:cs="Times New Roman"/>
                <w:b/>
                <w:noProof/>
                <w:sz w:val="24"/>
                <w:szCs w:val="24"/>
              </w:rPr>
            </w:pPr>
          </w:p>
        </w:tc>
        <w:tc>
          <w:tcPr>
            <w:tcW w:w="990" w:type="dxa"/>
            <w:tcBorders>
              <w:right w:val="single" w:sz="2" w:space="0" w:color="FFFFFF"/>
            </w:tcBorders>
            <w:shd w:val="clear" w:color="auto" w:fill="0070C0"/>
            <w:noWrap/>
            <w:textDirection w:val="btLr"/>
            <w:vAlign w:val="center"/>
            <w:hideMark/>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Participations in proposals</w:t>
            </w:r>
          </w:p>
        </w:tc>
        <w:tc>
          <w:tcPr>
            <w:tcW w:w="900" w:type="dxa"/>
            <w:tcBorders>
              <w:left w:val="single" w:sz="2" w:space="0" w:color="FFFFFF"/>
              <w:right w:val="single" w:sz="2" w:space="0" w:color="FFFFFF"/>
            </w:tcBorders>
            <w:shd w:val="clear" w:color="auto" w:fill="0070C0"/>
            <w:noWrap/>
            <w:textDirection w:val="btLr"/>
            <w:vAlign w:val="center"/>
            <w:hideMark/>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 xml:space="preserve">Participations in projects </w:t>
            </w:r>
          </w:p>
        </w:tc>
        <w:tc>
          <w:tcPr>
            <w:tcW w:w="720" w:type="dxa"/>
            <w:tcBorders>
              <w:left w:val="single" w:sz="2" w:space="0" w:color="FFFFFF"/>
              <w:bottom w:val="single" w:sz="2" w:space="0" w:color="0067AB"/>
              <w:right w:val="single" w:sz="2" w:space="0" w:color="FFFFFF" w:themeColor="background1"/>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Participation success rate (%)</w:t>
            </w:r>
          </w:p>
        </w:tc>
        <w:tc>
          <w:tcPr>
            <w:tcW w:w="810" w:type="dxa"/>
            <w:tcBorders>
              <w:left w:val="single" w:sz="2" w:space="0" w:color="FFFFFF" w:themeColor="background1"/>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Participations in proposals</w:t>
            </w:r>
          </w:p>
        </w:tc>
        <w:tc>
          <w:tcPr>
            <w:tcW w:w="720" w:type="dxa"/>
            <w:tcBorders>
              <w:left w:val="single" w:sz="2" w:space="0" w:color="FFFFFF"/>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 xml:space="preserve">Participations in projects </w:t>
            </w:r>
          </w:p>
        </w:tc>
        <w:tc>
          <w:tcPr>
            <w:tcW w:w="720" w:type="dxa"/>
            <w:tcBorders>
              <w:left w:val="single" w:sz="2" w:space="0" w:color="FFFFFF"/>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Participation success rate (%)</w:t>
            </w:r>
          </w:p>
        </w:tc>
      </w:tr>
      <w:tr w:rsidR="00E535A0">
        <w:tc>
          <w:tcPr>
            <w:tcW w:w="3289"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de-DE" w:eastAsia="de-DE"/>
              </w:rPr>
              <mc:AlternateContent>
                <mc:Choice Requires="wps">
                  <w:drawing>
                    <wp:anchor distT="0" distB="0" distL="114300" distR="114300" simplePos="0" relativeHeight="251659264" behindDoc="0" locked="0" layoutInCell="1" allowOverlap="1" wp14:anchorId="2189802B" wp14:editId="3306B6A2">
                      <wp:simplePos x="0" y="0"/>
                      <wp:positionH relativeFrom="column">
                        <wp:posOffset>-63500</wp:posOffset>
                      </wp:positionH>
                      <wp:positionV relativeFrom="paragraph">
                        <wp:posOffset>287020</wp:posOffset>
                      </wp:positionV>
                      <wp:extent cx="5267325" cy="285750"/>
                      <wp:effectExtent l="0" t="0" r="28575" b="19050"/>
                      <wp:wrapNone/>
                      <wp:docPr id="21504" name="Rectangle 21504"/>
                      <wp:cNvGraphicFramePr/>
                      <a:graphic xmlns:a="http://schemas.openxmlformats.org/drawingml/2006/main">
                        <a:graphicData uri="http://schemas.microsoft.com/office/word/2010/wordprocessingShape">
                          <wps:wsp>
                            <wps:cNvSpPr/>
                            <wps:spPr>
                              <a:xfrm>
                                <a:off x="0" y="0"/>
                                <a:ext cx="526732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4" o:spid="_x0000_s1026" style="position:absolute;margin-left:-5pt;margin-top:22.6pt;width:414.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" filled="f" strokecolor="red" strokeweight="2pt"/>
                  </w:pict>
                </mc:Fallback>
              </mc:AlternateContent>
            </w:r>
            <w:r>
              <w:rPr>
                <w:rFonts w:ascii="Times New Roman" w:eastAsia="Times New Roman" w:hAnsi="Times New Roman" w:cs="Times New Roman"/>
                <w:noProof/>
                <w:sz w:val="24"/>
                <w:szCs w:val="24"/>
              </w:rPr>
              <w:t>PUB – Public body</w:t>
            </w:r>
          </w:p>
        </w:tc>
        <w:tc>
          <w:tcPr>
            <w:tcW w:w="99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23,386</w:t>
            </w:r>
          </w:p>
        </w:tc>
        <w:tc>
          <w:tcPr>
            <w:tcW w:w="90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6,179</w:t>
            </w:r>
          </w:p>
        </w:tc>
        <w:tc>
          <w:tcPr>
            <w:tcW w:w="720" w:type="dxa"/>
            <w:tcBorders>
              <w:bottom w:val="single" w:sz="6" w:space="0" w:color="0067AB"/>
              <w:righ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26%</w:t>
            </w:r>
          </w:p>
        </w:tc>
        <w:tc>
          <w:tcPr>
            <w:tcW w:w="810" w:type="dxa"/>
            <w:tcBorders>
              <w:left w:val="single" w:sz="2" w:space="0" w:color="0067AB"/>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628</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145</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23%</w:t>
            </w:r>
          </w:p>
        </w:tc>
      </w:tr>
      <w:tr w:rsidR="00E535A0">
        <w:tc>
          <w:tcPr>
            <w:tcW w:w="3289"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REC – Research </w:t>
            </w:r>
            <w:r>
              <w:rPr>
                <w:rFonts w:ascii="Times New Roman" w:eastAsia="Times New Roman" w:hAnsi="Times New Roman" w:cs="Times New Roman"/>
                <w:noProof/>
                <w:sz w:val="24"/>
                <w:szCs w:val="24"/>
              </w:rPr>
              <w:t>organisation</w:t>
            </w:r>
          </w:p>
        </w:tc>
        <w:tc>
          <w:tcPr>
            <w:tcW w:w="99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119,114</w:t>
            </w:r>
          </w:p>
        </w:tc>
        <w:tc>
          <w:tcPr>
            <w:tcW w:w="90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32,942</w:t>
            </w:r>
          </w:p>
        </w:tc>
        <w:tc>
          <w:tcPr>
            <w:tcW w:w="720" w:type="dxa"/>
            <w:tcBorders>
              <w:top w:val="single" w:sz="6" w:space="0" w:color="0067AB"/>
              <w:bottom w:val="single" w:sz="6" w:space="0" w:color="0067AB"/>
              <w:righ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28%</w:t>
            </w:r>
          </w:p>
        </w:tc>
        <w:tc>
          <w:tcPr>
            <w:tcW w:w="810" w:type="dxa"/>
            <w:tcBorders>
              <w:lef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1,272</w:t>
            </w:r>
          </w:p>
        </w:tc>
        <w:tc>
          <w:tcPr>
            <w:tcW w:w="72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376</w:t>
            </w:r>
          </w:p>
        </w:tc>
        <w:tc>
          <w:tcPr>
            <w:tcW w:w="72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30%</w:t>
            </w:r>
          </w:p>
        </w:tc>
      </w:tr>
      <w:tr w:rsidR="00E535A0">
        <w:tc>
          <w:tcPr>
            <w:tcW w:w="3289" w:type="dxa"/>
            <w:tcBorders>
              <w:bottom w:val="single" w:sz="2" w:space="0" w:color="0067AB"/>
            </w:tcBorders>
            <w:shd w:val="clear" w:color="auto" w:fill="FFFFFF" w:themeFill="background1"/>
            <w:noWrap/>
            <w:vAlign w:val="bottom"/>
            <w:hideMark/>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HES - Higher or secondary education</w:t>
            </w:r>
          </w:p>
        </w:tc>
        <w:tc>
          <w:tcPr>
            <w:tcW w:w="99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228,005</w:t>
            </w:r>
          </w:p>
        </w:tc>
        <w:tc>
          <w:tcPr>
            <w:tcW w:w="90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49,886</w:t>
            </w:r>
          </w:p>
        </w:tc>
        <w:tc>
          <w:tcPr>
            <w:tcW w:w="720" w:type="dxa"/>
            <w:tcBorders>
              <w:top w:val="single" w:sz="6" w:space="0" w:color="0067AB"/>
              <w:bottom w:val="single" w:sz="6" w:space="0" w:color="0067AB"/>
              <w:righ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w:t>
            </w:r>
          </w:p>
        </w:tc>
        <w:tc>
          <w:tcPr>
            <w:tcW w:w="810" w:type="dxa"/>
            <w:tcBorders>
              <w:left w:val="single" w:sz="2" w:space="0" w:color="0067AB"/>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4,034</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831</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21%</w:t>
            </w:r>
          </w:p>
        </w:tc>
      </w:tr>
      <w:tr w:rsidR="00E535A0">
        <w:tc>
          <w:tcPr>
            <w:tcW w:w="3289" w:type="dxa"/>
            <w:shd w:val="clear" w:color="auto" w:fill="FFFFFF" w:themeFill="background1"/>
            <w:noWrap/>
            <w:vAlign w:val="center"/>
            <w:hideMark/>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PRC – Private commercial</w:t>
            </w:r>
          </w:p>
        </w:tc>
        <w:tc>
          <w:tcPr>
            <w:tcW w:w="99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160,755</w:t>
            </w:r>
          </w:p>
        </w:tc>
        <w:tc>
          <w:tcPr>
            <w:tcW w:w="90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40,491</w:t>
            </w:r>
          </w:p>
        </w:tc>
        <w:tc>
          <w:tcPr>
            <w:tcW w:w="720" w:type="dxa"/>
            <w:tcBorders>
              <w:top w:val="single" w:sz="6" w:space="0" w:color="0067AB"/>
              <w:bottom w:val="single" w:sz="6" w:space="0" w:color="0067AB"/>
              <w:righ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810" w:type="dxa"/>
            <w:tcBorders>
              <w:lef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777</w:t>
            </w:r>
          </w:p>
        </w:tc>
        <w:tc>
          <w:tcPr>
            <w:tcW w:w="72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184</w:t>
            </w:r>
          </w:p>
        </w:tc>
        <w:tc>
          <w:tcPr>
            <w:tcW w:w="72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24%</w:t>
            </w:r>
          </w:p>
        </w:tc>
      </w:tr>
      <w:tr w:rsidR="00E535A0">
        <w:tc>
          <w:tcPr>
            <w:tcW w:w="3289"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de-DE" w:eastAsia="de-DE"/>
              </w:rPr>
              <mc:AlternateContent>
                <mc:Choice Requires="wps">
                  <w:drawing>
                    <wp:anchor distT="0" distB="0" distL="114300" distR="114300" simplePos="0" relativeHeight="251660288" behindDoc="0" locked="0" layoutInCell="1" allowOverlap="1" wp14:anchorId="52E8728C" wp14:editId="3A7F376E">
                      <wp:simplePos x="0" y="0"/>
                      <wp:positionH relativeFrom="column">
                        <wp:posOffset>-60960</wp:posOffset>
                      </wp:positionH>
                      <wp:positionV relativeFrom="paragraph">
                        <wp:posOffset>-18415</wp:posOffset>
                      </wp:positionV>
                      <wp:extent cx="5267325" cy="285750"/>
                      <wp:effectExtent l="0" t="0" r="28575" b="19050"/>
                      <wp:wrapNone/>
                      <wp:docPr id="21509" name="Rectangle 21509"/>
                      <wp:cNvGraphicFramePr/>
                      <a:graphic xmlns:a="http://schemas.openxmlformats.org/drawingml/2006/main">
                        <a:graphicData uri="http://schemas.microsoft.com/office/word/2010/wordprocessingShape">
                          <wps:wsp>
                            <wps:cNvSpPr/>
                            <wps:spPr>
                              <a:xfrm>
                                <a:off x="0" y="0"/>
                                <a:ext cx="526732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9" o:spid="_x0000_s1026" style="position:absolute;margin-left:-4.8pt;margin-top:-1.45pt;width:414.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" filled="f" strokecolor="red" strokeweight="2pt"/>
                  </w:pict>
                </mc:Fallback>
              </mc:AlternateContent>
            </w:r>
            <w:r>
              <w:rPr>
                <w:rFonts w:ascii="Times New Roman" w:eastAsia="Times New Roman" w:hAnsi="Times New Roman" w:cs="Times New Roman"/>
                <w:noProof/>
                <w:sz w:val="24"/>
                <w:szCs w:val="24"/>
              </w:rPr>
              <w:t xml:space="preserve">OTH – Other </w:t>
            </w:r>
          </w:p>
        </w:tc>
        <w:tc>
          <w:tcPr>
            <w:tcW w:w="99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42,179</w:t>
            </w:r>
          </w:p>
        </w:tc>
        <w:tc>
          <w:tcPr>
            <w:tcW w:w="90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4,118</w:t>
            </w:r>
          </w:p>
        </w:tc>
        <w:tc>
          <w:tcPr>
            <w:tcW w:w="720" w:type="dxa"/>
            <w:tcBorders>
              <w:top w:val="single" w:sz="6" w:space="0" w:color="0067AB"/>
              <w:bottom w:val="single" w:sz="6" w:space="0" w:color="0067AB"/>
              <w:righ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810" w:type="dxa"/>
            <w:tcBorders>
              <w:left w:val="single" w:sz="2" w:space="0" w:color="0067AB"/>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1,318</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285</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w:t>
            </w:r>
          </w:p>
        </w:tc>
      </w:tr>
      <w:tr w:rsidR="00E535A0">
        <w:tc>
          <w:tcPr>
            <w:tcW w:w="3289"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Total </w:t>
            </w:r>
          </w:p>
        </w:tc>
        <w:tc>
          <w:tcPr>
            <w:tcW w:w="99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573,439</w:t>
            </w:r>
          </w:p>
        </w:tc>
        <w:tc>
          <w:tcPr>
            <w:tcW w:w="90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133,616</w:t>
            </w:r>
          </w:p>
        </w:tc>
        <w:tc>
          <w:tcPr>
            <w:tcW w:w="720" w:type="dxa"/>
            <w:tcBorders>
              <w:top w:val="single" w:sz="6" w:space="0" w:color="0067AB"/>
              <w:bottom w:val="single" w:sz="2" w:space="0" w:color="0067AB"/>
              <w:right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23%</w:t>
            </w:r>
          </w:p>
        </w:tc>
        <w:tc>
          <w:tcPr>
            <w:tcW w:w="810" w:type="dxa"/>
            <w:tcBorders>
              <w:left w:val="single" w:sz="2" w:space="0" w:color="0067AB"/>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8,029</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1,821</w:t>
            </w:r>
          </w:p>
        </w:tc>
        <w:tc>
          <w:tcPr>
            <w:tcW w:w="72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23%</w:t>
            </w:r>
          </w:p>
        </w:tc>
      </w:tr>
    </w:tbl>
    <w:p w:rsidR="00E535A0" w:rsidRPr="00C953F5" w:rsidRDefault="00C953F5">
      <w:pPr>
        <w:spacing w:line="240" w:lineRule="auto"/>
        <w:jc w:val="both"/>
        <w:rPr>
          <w:rFonts w:ascii="Times New Roman" w:eastAsia="Times New Roman" w:hAnsi="Times New Roman" w:cs="Times New Roman"/>
          <w:i/>
          <w:noProof/>
          <w:sz w:val="24"/>
          <w:szCs w:val="24"/>
          <w:lang w:val="en-US"/>
        </w:rPr>
      </w:pPr>
      <w:r w:rsidRPr="00C953F5">
        <w:rPr>
          <w:rFonts w:ascii="Times New Roman" w:eastAsia="Times New Roman" w:hAnsi="Times New Roman" w:cs="Times New Roman"/>
          <w:i/>
          <w:noProof/>
          <w:sz w:val="24"/>
          <w:szCs w:val="24"/>
          <w:lang w:val="en-US"/>
        </w:rPr>
        <w:t>Source: FP7 participation data CORDA (December 2014)</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total number of discrete organisations participating in SiS was 1,100. SiS participants made up 3.8% of the (n=28,818) organisations participating in FP7 as a whole. The largest groups of </w:t>
      </w:r>
      <w:r>
        <w:rPr>
          <w:rFonts w:ascii="Times New Roman" w:eastAsia="Times New Roman" w:hAnsi="Times New Roman" w:cs="Times New Roman"/>
          <w:noProof/>
          <w:sz w:val="24"/>
          <w:szCs w:val="24"/>
        </w:rPr>
        <w:t>SiS participants were HES (38% of SiS participants), followed by REC (19%) and OTH (19%).  PRC made up 15% of SiS participants and PUB the remaining 10%.</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Table below shows the profile of participations by organisation type, for FP7 overall and for SiS spec</w:t>
      </w:r>
      <w:r>
        <w:rPr>
          <w:rFonts w:ascii="Times New Roman" w:eastAsia="Times New Roman" w:hAnsi="Times New Roman" w:cs="Times New Roman"/>
          <w:noProof/>
          <w:sz w:val="24"/>
          <w:szCs w:val="24"/>
        </w:rPr>
        <w:t xml:space="preserve">ifically.  Almost half of the participations in SiS projects were by HES (46%) and a further 21% were by REC.  OTH made up 16% of the participations, PRC accounted for 10% and PUB the remaining 8%.  </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Compared to the overall FP7 profile, SiS had a higher sh</w:t>
      </w:r>
      <w:r>
        <w:rPr>
          <w:rFonts w:ascii="Times New Roman" w:eastAsia="Times New Roman" w:hAnsi="Times New Roman" w:cs="Times New Roman"/>
          <w:noProof/>
          <w:sz w:val="24"/>
          <w:szCs w:val="24"/>
        </w:rPr>
        <w:t xml:space="preserve">are of participation from HES (46 versus 37%), PUB (8% versus 5%) and in particular OTH (16% versus 3%), and a lower share of participation by REC (21% versus 15%) and in particular PRC (10% versus 30%).  </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very high relative participation by OTH in SiS</w:t>
      </w:r>
      <w:r>
        <w:rPr>
          <w:rFonts w:ascii="Times New Roman" w:eastAsia="Times New Roman" w:hAnsi="Times New Roman" w:cs="Times New Roman"/>
          <w:noProof/>
          <w:sz w:val="24"/>
          <w:szCs w:val="24"/>
        </w:rPr>
        <w:t xml:space="preserve"> compared to FP7 overall is due to a combination of high demand and high success rates for this group within SiS as compared to their demand and success within FP7 as a whole.  The relatively low share of participations accounted for by PRC in SiS is due t</w:t>
      </w:r>
      <w:r>
        <w:rPr>
          <w:rFonts w:ascii="Times New Roman" w:eastAsia="Times New Roman" w:hAnsi="Times New Roman" w:cs="Times New Roman"/>
          <w:noProof/>
          <w:sz w:val="24"/>
          <w:szCs w:val="24"/>
        </w:rPr>
        <w:t xml:space="preserve">o low levels of demand, rather than due to low success rates (PRC success rates in SiS were in line with the FP7 average).  </w:t>
      </w:r>
    </w:p>
    <w:p w:rsidR="00E535A0" w:rsidRDefault="00C953F5">
      <w:pPr>
        <w:spacing w:line="240" w:lineRule="auto"/>
        <w:jc w:val="center"/>
        <w:rPr>
          <w:rFonts w:eastAsia="Times New Roman"/>
          <w:noProof/>
          <w:szCs w:val="24"/>
        </w:rPr>
      </w:pPr>
      <w:r>
        <w:rPr>
          <w:rFonts w:ascii="Times New Roman" w:eastAsia="Times New Roman" w:hAnsi="Times New Roman" w:cs="Times New Roman"/>
          <w:b/>
          <w:noProof/>
          <w:sz w:val="24"/>
          <w:szCs w:val="24"/>
        </w:rPr>
        <w:t>Participation in FP7 overall and in SiS, by organisation type</w:t>
      </w:r>
    </w:p>
    <w:tbl>
      <w:tblPr>
        <w:tblpPr w:leftFromText="180" w:rightFromText="180" w:vertAnchor="text" w:horzAnchor="margin" w:tblpY="342"/>
        <w:tblW w:w="8149"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shd w:val="clear" w:color="auto" w:fill="FFFFFF" w:themeFill="background1"/>
        <w:tblLayout w:type="fixed"/>
        <w:tblCellMar>
          <w:top w:w="14" w:type="dxa"/>
          <w:left w:w="0" w:type="dxa"/>
          <w:bottom w:w="14" w:type="dxa"/>
          <w:right w:w="0" w:type="dxa"/>
        </w:tblCellMar>
        <w:tblLook w:val="04A0" w:firstRow="1" w:lastRow="0" w:firstColumn="1" w:lastColumn="0" w:noHBand="0" w:noVBand="1"/>
      </w:tblPr>
      <w:tblGrid>
        <w:gridCol w:w="3469"/>
        <w:gridCol w:w="1170"/>
        <w:gridCol w:w="1080"/>
        <w:gridCol w:w="1170"/>
        <w:gridCol w:w="1260"/>
      </w:tblGrid>
      <w:tr w:rsidR="00E535A0">
        <w:trPr>
          <w:cantSplit/>
          <w:tblHeader/>
        </w:trPr>
        <w:tc>
          <w:tcPr>
            <w:tcW w:w="3469" w:type="dxa"/>
            <w:vMerge w:val="restart"/>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Organisation type</w:t>
            </w:r>
          </w:p>
        </w:tc>
        <w:tc>
          <w:tcPr>
            <w:tcW w:w="2250" w:type="dxa"/>
            <w:gridSpan w:val="2"/>
            <w:tcBorders>
              <w:right w:val="single" w:sz="2" w:space="0" w:color="FFFFFF" w:themeColor="background1"/>
            </w:tcBorders>
            <w:shd w:val="clear" w:color="auto" w:fill="0070C0"/>
            <w:noWrap/>
            <w:vAlign w:val="center"/>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FP7 overall</w:t>
            </w:r>
          </w:p>
        </w:tc>
        <w:tc>
          <w:tcPr>
            <w:tcW w:w="2430" w:type="dxa"/>
            <w:gridSpan w:val="2"/>
            <w:tcBorders>
              <w:left w:val="single" w:sz="2" w:space="0" w:color="FFFFFF" w:themeColor="background1"/>
            </w:tcBorders>
            <w:shd w:val="clear" w:color="auto" w:fill="0070C0"/>
            <w:vAlign w:val="center"/>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SiS</w:t>
            </w:r>
          </w:p>
        </w:tc>
      </w:tr>
      <w:tr w:rsidR="00E535A0">
        <w:trPr>
          <w:cantSplit/>
          <w:trHeight w:val="1390"/>
          <w:tblHeader/>
        </w:trPr>
        <w:tc>
          <w:tcPr>
            <w:tcW w:w="3469" w:type="dxa"/>
            <w:vMerge/>
            <w:shd w:val="clear" w:color="auto" w:fill="FFFFFF" w:themeFill="background1"/>
            <w:vAlign w:val="center"/>
          </w:tcPr>
          <w:p w:rsidR="00E535A0" w:rsidRDefault="00E535A0">
            <w:pPr>
              <w:spacing w:line="240" w:lineRule="auto"/>
              <w:jc w:val="both"/>
              <w:rPr>
                <w:rFonts w:ascii="Times New Roman" w:eastAsia="Times New Roman" w:hAnsi="Times New Roman" w:cs="Times New Roman"/>
                <w:b/>
                <w:noProof/>
                <w:sz w:val="24"/>
                <w:szCs w:val="24"/>
              </w:rPr>
            </w:pPr>
          </w:p>
        </w:tc>
        <w:tc>
          <w:tcPr>
            <w:tcW w:w="1170" w:type="dxa"/>
            <w:shd w:val="clear" w:color="auto" w:fill="0070C0"/>
            <w:noWrap/>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 xml:space="preserve">Number of project participations </w:t>
            </w:r>
          </w:p>
        </w:tc>
        <w:tc>
          <w:tcPr>
            <w:tcW w:w="1080" w:type="dxa"/>
            <w:tcBorders>
              <w:right w:val="single" w:sz="2" w:space="0" w:color="FFFFFF" w:themeColor="background1"/>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Share of project participations</w:t>
            </w:r>
          </w:p>
        </w:tc>
        <w:tc>
          <w:tcPr>
            <w:tcW w:w="1170" w:type="dxa"/>
            <w:tcBorders>
              <w:left w:val="single" w:sz="2" w:space="0" w:color="FFFFFF" w:themeColor="background1"/>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Number of project participations</w:t>
            </w:r>
          </w:p>
        </w:tc>
        <w:tc>
          <w:tcPr>
            <w:tcW w:w="1260" w:type="dxa"/>
            <w:tcBorders>
              <w:left w:val="single" w:sz="2" w:space="0" w:color="FFFFFF"/>
            </w:tcBorders>
            <w:shd w:val="clear" w:color="auto" w:fill="0070C0"/>
            <w:textDirection w:val="btLr"/>
            <w:vAlign w:val="center"/>
          </w:tcPr>
          <w:p w:rsidR="00E535A0" w:rsidRDefault="00C953F5">
            <w:pPr>
              <w:spacing w:line="240" w:lineRule="auto"/>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Share of project participations</w:t>
            </w:r>
          </w:p>
        </w:tc>
      </w:tr>
      <w:tr w:rsidR="00E535A0">
        <w:tc>
          <w:tcPr>
            <w:tcW w:w="3469"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PUB – Public body</w:t>
            </w:r>
          </w:p>
        </w:tc>
        <w:tc>
          <w:tcPr>
            <w:tcW w:w="117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6,179</w:t>
            </w:r>
          </w:p>
        </w:tc>
        <w:tc>
          <w:tcPr>
            <w:tcW w:w="108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117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145</w:t>
            </w:r>
          </w:p>
        </w:tc>
        <w:tc>
          <w:tcPr>
            <w:tcW w:w="126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r>
      <w:tr w:rsidR="00E535A0">
        <w:tc>
          <w:tcPr>
            <w:tcW w:w="3469"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REC – Research organisation</w:t>
            </w:r>
          </w:p>
        </w:tc>
        <w:tc>
          <w:tcPr>
            <w:tcW w:w="117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32,942</w:t>
            </w:r>
          </w:p>
        </w:tc>
        <w:tc>
          <w:tcPr>
            <w:tcW w:w="108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117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376</w:t>
            </w:r>
          </w:p>
        </w:tc>
        <w:tc>
          <w:tcPr>
            <w:tcW w:w="126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21%</w:t>
            </w:r>
          </w:p>
        </w:tc>
      </w:tr>
      <w:tr w:rsidR="00E535A0">
        <w:tc>
          <w:tcPr>
            <w:tcW w:w="3469"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HES - Higher or secondary education</w:t>
            </w:r>
          </w:p>
        </w:tc>
        <w:tc>
          <w:tcPr>
            <w:tcW w:w="117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49,886</w:t>
            </w:r>
          </w:p>
        </w:tc>
        <w:tc>
          <w:tcPr>
            <w:tcW w:w="108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117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831</w:t>
            </w:r>
          </w:p>
        </w:tc>
        <w:tc>
          <w:tcPr>
            <w:tcW w:w="126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46%</w:t>
            </w:r>
          </w:p>
        </w:tc>
      </w:tr>
      <w:tr w:rsidR="00E535A0">
        <w:tc>
          <w:tcPr>
            <w:tcW w:w="3469" w:type="dxa"/>
            <w:shd w:val="clear" w:color="auto" w:fill="FFFFFF" w:themeFill="background1"/>
            <w:vAlign w:val="center"/>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PRC – Private </w:t>
            </w:r>
            <w:r>
              <w:rPr>
                <w:rFonts w:ascii="Times New Roman" w:eastAsia="Times New Roman" w:hAnsi="Times New Roman" w:cs="Times New Roman"/>
                <w:noProof/>
                <w:sz w:val="24"/>
                <w:szCs w:val="24"/>
              </w:rPr>
              <w:t>commercial</w:t>
            </w:r>
          </w:p>
        </w:tc>
        <w:tc>
          <w:tcPr>
            <w:tcW w:w="117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40,491</w:t>
            </w:r>
          </w:p>
        </w:tc>
        <w:tc>
          <w:tcPr>
            <w:tcW w:w="1080" w:type="dxa"/>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30%</w:t>
            </w:r>
          </w:p>
        </w:tc>
        <w:tc>
          <w:tcPr>
            <w:tcW w:w="117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184</w:t>
            </w:r>
          </w:p>
        </w:tc>
        <w:tc>
          <w:tcPr>
            <w:tcW w:w="1260" w:type="dxa"/>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r>
      <w:tr w:rsidR="00E535A0">
        <w:tc>
          <w:tcPr>
            <w:tcW w:w="3469"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OTH – Other </w:t>
            </w:r>
          </w:p>
        </w:tc>
        <w:tc>
          <w:tcPr>
            <w:tcW w:w="117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4,118</w:t>
            </w:r>
          </w:p>
        </w:tc>
        <w:tc>
          <w:tcPr>
            <w:tcW w:w="108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117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285</w:t>
            </w:r>
          </w:p>
        </w:tc>
        <w:tc>
          <w:tcPr>
            <w:tcW w:w="126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w:t>
            </w:r>
          </w:p>
        </w:tc>
      </w:tr>
      <w:tr w:rsidR="00E535A0">
        <w:tc>
          <w:tcPr>
            <w:tcW w:w="3469"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Total </w:t>
            </w:r>
          </w:p>
        </w:tc>
        <w:tc>
          <w:tcPr>
            <w:tcW w:w="117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133,616</w:t>
            </w:r>
          </w:p>
        </w:tc>
        <w:tc>
          <w:tcPr>
            <w:tcW w:w="1080" w:type="dxa"/>
            <w:tcBorders>
              <w:bottom w:val="single" w:sz="2" w:space="0" w:color="0067AB"/>
            </w:tcBorders>
            <w:shd w:val="clear" w:color="auto" w:fill="FFFFFF" w:themeFill="background1"/>
            <w:noWrap/>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100%</w:t>
            </w:r>
          </w:p>
        </w:tc>
        <w:tc>
          <w:tcPr>
            <w:tcW w:w="117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1,821</w:t>
            </w:r>
          </w:p>
        </w:tc>
        <w:tc>
          <w:tcPr>
            <w:tcW w:w="1260" w:type="dxa"/>
            <w:tcBorders>
              <w:bottom w:val="single" w:sz="2" w:space="0" w:color="0067AB"/>
            </w:tcBorders>
            <w:shd w:val="clear" w:color="auto" w:fill="FFFFFF" w:themeFill="background1"/>
            <w:vAlign w:val="bottom"/>
          </w:tcPr>
          <w:p w:rsidR="00E535A0" w:rsidRDefault="00C953F5">
            <w:pPr>
              <w:spacing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100%</w:t>
            </w:r>
          </w:p>
        </w:tc>
      </w:tr>
    </w:tbl>
    <w:p w:rsidR="00E535A0" w:rsidRPr="00C953F5" w:rsidRDefault="00C953F5">
      <w:pPr>
        <w:spacing w:line="240" w:lineRule="auto"/>
        <w:jc w:val="both"/>
        <w:rPr>
          <w:rFonts w:ascii="Times New Roman" w:eastAsia="Times New Roman" w:hAnsi="Times New Roman" w:cs="Times New Roman"/>
          <w:i/>
          <w:noProof/>
          <w:sz w:val="24"/>
          <w:szCs w:val="24"/>
          <w:lang w:val="en-US"/>
        </w:rPr>
      </w:pPr>
      <w:r w:rsidRPr="00C953F5">
        <w:rPr>
          <w:rFonts w:ascii="Times New Roman" w:eastAsia="Times New Roman" w:hAnsi="Times New Roman" w:cs="Times New Roman"/>
          <w:i/>
          <w:noProof/>
          <w:sz w:val="24"/>
          <w:szCs w:val="24"/>
          <w:lang w:val="en-US"/>
        </w:rPr>
        <w:t>Source: FP7 participation data CORDA (December 2014)</w:t>
      </w: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SiS strengthen the scientific excellence of basic research in Europe?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Science in Society (SIS) projects had significant impacts on participants, enhancing their relationships and networks, strengthening their knowledge and capabilities, enhancing their capacity and improving their reputation and image. </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Within the area </w:t>
      </w:r>
      <w:r>
        <w:rPr>
          <w:rFonts w:ascii="Times New Roman" w:hAnsi="Times New Roman" w:cs="Times New Roman"/>
          <w:noProof/>
          <w:sz w:val="24"/>
          <w:szCs w:val="24"/>
        </w:rPr>
        <w:t>of ‘Open Access’, SiS had notable successes in getting open access principles piloted in FP7 and embedded in H2020.  In addition, the programme has helped to raise awareness of open access issues. Of the estimated 8,000 publications resulting from FP7 proj</w:t>
      </w:r>
      <w:r>
        <w:rPr>
          <w:rFonts w:ascii="Times New Roman" w:hAnsi="Times New Roman" w:cs="Times New Roman"/>
          <w:noProof/>
          <w:sz w:val="24"/>
          <w:szCs w:val="24"/>
        </w:rPr>
        <w:t xml:space="preserve">ects so far, the majority (60%) were published in open access journals or repositories. </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Within the area ‘gender and research’ the FP7 SiS is considered to have made a major contribution to the definition of relevant indicators and collection of data on t</w:t>
      </w:r>
      <w:r>
        <w:rPr>
          <w:rFonts w:ascii="Times New Roman" w:hAnsi="Times New Roman" w:cs="Times New Roman"/>
          <w:noProof/>
          <w:sz w:val="24"/>
          <w:szCs w:val="24"/>
        </w:rPr>
        <w:t>he role of women in science (She figures), and hence to a coordinated EU-wide monitoring system. According to Commission officials, this has led to significant advances in the understanding of gender imbalance in science, its impacts and the corrective mea</w:t>
      </w:r>
      <w:r>
        <w:rPr>
          <w:rFonts w:ascii="Times New Roman" w:hAnsi="Times New Roman" w:cs="Times New Roman"/>
          <w:noProof/>
          <w:sz w:val="24"/>
          <w:szCs w:val="24"/>
        </w:rPr>
        <w:t>sures needed. Within the area of ‘science education’, the programme made a major contribution to the development and piloting of inquiry based learning (IBL) techniques and their dissemination throughout Europe, in order to begin to address shortages of Sc</w:t>
      </w:r>
      <w:r>
        <w:rPr>
          <w:rFonts w:ascii="Times New Roman" w:hAnsi="Times New Roman" w:cs="Times New Roman"/>
          <w:noProof/>
          <w:sz w:val="24"/>
          <w:szCs w:val="24"/>
        </w:rPr>
        <w:t>ience, Technology, Engineering and Mathematics (STEM) graduates at all levels.</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Within the areas of ‘science communication’ and ‘public engagement’, the programmes have contributed to the development of new tools and working methods that enhance the engage</w:t>
      </w:r>
      <w:r>
        <w:rPr>
          <w:rFonts w:ascii="Times New Roman" w:hAnsi="Times New Roman" w:cs="Times New Roman"/>
          <w:noProof/>
          <w:sz w:val="24"/>
          <w:szCs w:val="24"/>
        </w:rPr>
        <w:t>ment of the public, policymakers and businesses in scientific debate and improve the provision of scientific information to relevant audiences. Big advances in citizen consultation have been made for example, through the VOICES project, addressing democrat</w:t>
      </w:r>
      <w:r>
        <w:rPr>
          <w:rFonts w:ascii="Times New Roman" w:hAnsi="Times New Roman" w:cs="Times New Roman"/>
          <w:noProof/>
          <w:sz w:val="24"/>
          <w:szCs w:val="24"/>
        </w:rPr>
        <w:t>ic values and aspirations.</w:t>
      </w: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Within the area of ‘scientific advice in policymaking’ the SiS programme has piloted new mechanisms for linking policymakers to sources of scientific advice.</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Within the area of ‘research ethics’ the programme has been effective </w:t>
      </w:r>
      <w:r>
        <w:rPr>
          <w:rFonts w:ascii="Times New Roman" w:hAnsi="Times New Roman" w:cs="Times New Roman"/>
          <w:noProof/>
          <w:sz w:val="24"/>
          <w:szCs w:val="24"/>
        </w:rPr>
        <w:t>in building improved networks of Research Ethics Committees.  The programme also contributed to the implementation of ethics frameworks and review procedures across the EU.  In addition, the programme has supported the development of new insights and pract</w:t>
      </w:r>
      <w:r>
        <w:rPr>
          <w:rFonts w:ascii="Times New Roman" w:hAnsi="Times New Roman" w:cs="Times New Roman"/>
          <w:noProof/>
          <w:sz w:val="24"/>
          <w:szCs w:val="24"/>
        </w:rPr>
        <w:t>ices in the areas of privacy and social impact assessment. A major policy development was the establishment of an ethical review mechanism for all framework research proposals under FP7, reviewing the potential impact of research proposed in terms of the i</w:t>
      </w:r>
      <w:r>
        <w:rPr>
          <w:rFonts w:ascii="Times New Roman" w:hAnsi="Times New Roman" w:cs="Times New Roman"/>
          <w:noProof/>
          <w:sz w:val="24"/>
          <w:szCs w:val="24"/>
        </w:rPr>
        <w:t>nvolvement of children, patients, vulnerable populations, the use of human embryonic stem cells, privacy and data protection issues, research on animals and non-human primates, the avoidance of breaches of ‘research integrity (i.e. plagiarism and falsifica</w:t>
      </w:r>
      <w:r>
        <w:rPr>
          <w:rFonts w:ascii="Times New Roman" w:hAnsi="Times New Roman" w:cs="Times New Roman"/>
          <w:noProof/>
          <w:sz w:val="24"/>
          <w:szCs w:val="24"/>
        </w:rPr>
        <w:t xml:space="preserve">tion), research involving developing countries or dual use. </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Towards the end, SiS programme became more policy oriented with a stronger focus on triggering institutional change. In the area of ethics, originally the ELSA (Ethical, Legal and Social Aspects</w:t>
      </w:r>
      <w:r>
        <w:rPr>
          <w:rFonts w:ascii="Times New Roman" w:hAnsi="Times New Roman" w:cs="Times New Roman"/>
          <w:noProof/>
          <w:sz w:val="24"/>
          <w:szCs w:val="24"/>
        </w:rPr>
        <w:t xml:space="preserve"> of the Life Sciences and Technologies) approach was used, where the most contentious sectoral issues would be identified and receive funding. This was a more reactive approach to funding. With the emergence of Responsible Research and Innovation (RRI) as </w:t>
      </w:r>
      <w:r>
        <w:rPr>
          <w:rFonts w:ascii="Times New Roman" w:hAnsi="Times New Roman" w:cs="Times New Roman"/>
          <w:noProof/>
          <w:sz w:val="24"/>
          <w:szCs w:val="24"/>
        </w:rPr>
        <w:t xml:space="preserve">a governance framework, more anticipatory actions and a move upstream “into the lab” was pursued, by supporting the development of assessment frameworks, ethics review and public engagement in institutional settings of RPOs and RFOs. </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Over the course of F</w:t>
      </w:r>
      <w:r>
        <w:rPr>
          <w:rFonts w:ascii="Times New Roman" w:hAnsi="Times New Roman" w:cs="Times New Roman"/>
          <w:noProof/>
          <w:sz w:val="24"/>
          <w:szCs w:val="24"/>
        </w:rPr>
        <w:t>P7, the ethics reviews became more formalised, streamlined and professional. First, ethics reviews were only conducted at the stage of proposal evaluation. Later on, ethic audits conducted during or after the projects’ lifetime were introduced. This was of</w:t>
      </w:r>
      <w:r>
        <w:rPr>
          <w:rFonts w:ascii="Times New Roman" w:hAnsi="Times New Roman" w:cs="Times New Roman"/>
          <w:noProof/>
          <w:sz w:val="24"/>
          <w:szCs w:val="24"/>
        </w:rPr>
        <w:t xml:space="preserve"> course helped by the legal developments in the area of ethics, but FP7 SiS is also said to have contributed to this development.</w:t>
      </w:r>
    </w:p>
    <w:p w:rsidR="00E535A0" w:rsidRDefault="00E535A0">
      <w:pPr>
        <w:autoSpaceDE w:val="0"/>
        <w:autoSpaceDN w:val="0"/>
        <w:adjustRightInd w:val="0"/>
        <w:spacing w:after="0" w:line="240" w:lineRule="auto"/>
        <w:contextualSpacing/>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SiS promote the development of European research careers and to make Europe more attractive to the best researchers?</w:t>
      </w:r>
    </w:p>
    <w:p w:rsidR="00E535A0" w:rsidRDefault="00E535A0">
      <w:pPr>
        <w:autoSpaceDE w:val="0"/>
        <w:autoSpaceDN w:val="0"/>
        <w:adjustRightInd w:val="0"/>
        <w:spacing w:after="0" w:line="240" w:lineRule="auto"/>
        <w:jc w:val="both"/>
        <w:rPr>
          <w:rFonts w:ascii="Times New Roman" w:hAnsi="Times New Roman" w:cs="Times New Roman"/>
          <w:i/>
          <w:noProof/>
          <w:sz w:val="24"/>
          <w:szCs w:val="24"/>
          <w:highlight w:val="yellow"/>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SiS FP7 contributed to create an environment which triggers an enthusiasm for science in young people, and which provides fair and rewarding career opportunities for women and men.</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SiS ‘Science education’, the programme made a major contribution to the</w:t>
      </w:r>
      <w:r>
        <w:rPr>
          <w:rFonts w:ascii="Times New Roman" w:hAnsi="Times New Roman" w:cs="Times New Roman"/>
          <w:noProof/>
          <w:sz w:val="24"/>
          <w:szCs w:val="24"/>
        </w:rPr>
        <w:t xml:space="preserve"> development of Inquiry Based Learning techniques and their dissemination throughout Europe, in order to begin to address shortages of Science, Technology, Engineering and Mathematics graduates at all levels. SiS ‘Science education’ projects contributed si</w:t>
      </w:r>
      <w:r>
        <w:rPr>
          <w:rFonts w:ascii="Times New Roman" w:hAnsi="Times New Roman" w:cs="Times New Roman"/>
          <w:noProof/>
          <w:sz w:val="24"/>
          <w:szCs w:val="24"/>
        </w:rPr>
        <w:t>gnificantly to the development and dissemination throughout Europe of Inquiry-based learning techniques and materials.  They raised significant awareness of IBL in policy, parent and business circles.  It has also promoted IBL at primary level (starting ve</w:t>
      </w:r>
      <w:r>
        <w:rPr>
          <w:rFonts w:ascii="Times New Roman" w:hAnsi="Times New Roman" w:cs="Times New Roman"/>
          <w:noProof/>
          <w:sz w:val="24"/>
          <w:szCs w:val="24"/>
        </w:rPr>
        <w:t>ry early) and to girls.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Science education projects reached hundreds of teachers and children through activities via ‘multiplier’ models for dissemination (e.g. Scientix) and giving direct training to teachers all over Europe (e.g. Fibonacci). Some lasting </w:t>
      </w:r>
      <w:r>
        <w:rPr>
          <w:rFonts w:ascii="Times New Roman" w:hAnsi="Times New Roman" w:cs="Times New Roman"/>
          <w:noProof/>
          <w:sz w:val="24"/>
          <w:szCs w:val="24"/>
        </w:rPr>
        <w:t>networks have emerged from the activity, independently of FP funding.</w:t>
      </w:r>
    </w:p>
    <w:p w:rsidR="00E535A0" w:rsidRDefault="00C953F5">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Furthermore, one third of FP7 SiS projects worked with students or school pupils and a similar proportion generated science education materials.</w:t>
      </w:r>
    </w:p>
    <w:p w:rsidR="00E535A0" w:rsidRDefault="00C953F5">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SiS support key Community policie</w:t>
      </w:r>
      <w:r>
        <w:rPr>
          <w:rFonts w:ascii="Times New Roman" w:hAnsi="Times New Roman" w:cs="Times New Roman"/>
          <w:b/>
          <w:noProof/>
          <w:sz w:val="24"/>
          <w:szCs w:val="24"/>
        </w:rPr>
        <w:t>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Projects funded under SiS have obviously shaped and influenced Commission’s policy and approach to RRI within H2020. Specifically, based on pilots funded under FP7 SiS, the Commission has been able to embed open access principles within H2020. Similarly th</w:t>
      </w:r>
      <w:r>
        <w:rPr>
          <w:rFonts w:ascii="Times New Roman" w:eastAsia="Calibri" w:hAnsi="Times New Roman" w:cs="Times New Roman"/>
          <w:noProof/>
          <w:sz w:val="24"/>
          <w:szCs w:val="24"/>
        </w:rPr>
        <w:t>e Commission has been successful in introducing articles and obligations for gender under Horizon 2020. Examples can also be found of impact on national policy development. SiS had substantial influence and impact on policy-makers regarding ethics e.g. thr</w:t>
      </w:r>
      <w:r>
        <w:rPr>
          <w:rFonts w:ascii="Times New Roman" w:eastAsia="Calibri" w:hAnsi="Times New Roman" w:cs="Times New Roman"/>
          <w:noProof/>
          <w:sz w:val="24"/>
          <w:szCs w:val="24"/>
        </w:rPr>
        <w:t xml:space="preserve">ough discussions on dual use with competent authorities in Member States. </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 number of projects had singular impacts on decision making, at various levels. The ETICA project for example was seen as having a high impact on the European Commission’s agenda </w:t>
      </w:r>
      <w:r>
        <w:rPr>
          <w:rFonts w:ascii="Times New Roman" w:eastAsia="Calibri" w:hAnsi="Times New Roman" w:cs="Times New Roman"/>
          <w:noProof/>
          <w:sz w:val="24"/>
          <w:szCs w:val="24"/>
        </w:rPr>
        <w:t>around ethical issues in Information and Communication Technologies. The PACITA project spread technology assessment approaches across Europe, resulting in two further Member States taking up technology assessment in their parliamentary and government proc</w:t>
      </w:r>
      <w:r>
        <w:rPr>
          <w:rFonts w:ascii="Times New Roman" w:eastAsia="Calibri" w:hAnsi="Times New Roman" w:cs="Times New Roman"/>
          <w:noProof/>
          <w:sz w:val="24"/>
          <w:szCs w:val="24"/>
        </w:rPr>
        <w:t>esses for reviewing R&amp;D related legislation and policy. Other impacts were identified at the local level, were for instance the EFORTT project provided a blueprint ethical framework which was taken up by a local council in the process of procuring tele-car</w:t>
      </w:r>
      <w:r>
        <w:rPr>
          <w:rFonts w:ascii="Times New Roman" w:eastAsia="Calibri" w:hAnsi="Times New Roman" w:cs="Times New Roman"/>
          <w:noProof/>
          <w:sz w:val="24"/>
          <w:szCs w:val="24"/>
        </w:rPr>
        <w:t>e services for up to 7,000 patients.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survey of SiS participants were asked about the actual and expected scale of the impacts of the projects on scientific advice and decision-making processes at five levels. Figure X presents the results and shows th</w:t>
      </w:r>
      <w:r>
        <w:rPr>
          <w:rFonts w:ascii="Times New Roman" w:eastAsia="Calibri" w:hAnsi="Times New Roman" w:cs="Times New Roman"/>
          <w:noProof/>
          <w:sz w:val="24"/>
          <w:szCs w:val="24"/>
        </w:rPr>
        <w:t>at impacts in this area are expected to be largest at local and European levels, with 45% and 44% of participants respectively attesting to large or very large impacts on scientific advice and decision-making. By comparison, large-scale impacts are relativ</w:t>
      </w:r>
      <w:r>
        <w:rPr>
          <w:rFonts w:ascii="Times New Roman" w:eastAsia="Calibri" w:hAnsi="Times New Roman" w:cs="Times New Roman"/>
          <w:noProof/>
          <w:sz w:val="24"/>
          <w:szCs w:val="24"/>
        </w:rPr>
        <w:t>ely less likely to be achieved at the Global level and at the National level.  Limited impacts at the Global level are to be expected, given that the vast majority of contexts and partnerships are within Europe. The lower level of expected impacts at Natio</w:t>
      </w:r>
      <w:r>
        <w:rPr>
          <w:rFonts w:ascii="Times New Roman" w:eastAsia="Calibri" w:hAnsi="Times New Roman" w:cs="Times New Roman"/>
          <w:noProof/>
          <w:sz w:val="24"/>
          <w:szCs w:val="24"/>
        </w:rPr>
        <w:t xml:space="preserve">nal level is to some extent outweighed by the larger impact s at local and regional levels (presumably as a result of the direct engagement with project activity). There might be expected to be a longer time lag for the local, project related, activity to </w:t>
      </w:r>
      <w:r>
        <w:rPr>
          <w:rFonts w:ascii="Times New Roman" w:eastAsia="Calibri" w:hAnsi="Times New Roman" w:cs="Times New Roman"/>
          <w:noProof/>
          <w:sz w:val="24"/>
          <w:szCs w:val="24"/>
        </w:rPr>
        <w:t>permeate to national decision-making levels.</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0" w:line="240" w:lineRule="auto"/>
        <w:jc w:val="center"/>
        <w:rPr>
          <w:rFonts w:ascii="Times New Roman" w:eastAsia="Calibri" w:hAnsi="Times New Roman" w:cs="Times New Roman"/>
          <w:b/>
          <w:noProof/>
          <w:sz w:val="24"/>
          <w:szCs w:val="24"/>
        </w:rPr>
      </w:pPr>
      <w:bookmarkStart w:id="21" w:name="_Ref295563272"/>
      <w:r>
        <w:rPr>
          <w:rFonts w:ascii="Times New Roman" w:eastAsia="Calibri" w:hAnsi="Times New Roman" w:cs="Times New Roman"/>
          <w:b/>
          <w:noProof/>
          <w:sz w:val="24"/>
          <w:szCs w:val="24"/>
        </w:rPr>
        <w:t>Participant views on the impact of the projects on scientific advice and decision-making processes at different levels (n=94)</w:t>
      </w:r>
      <w:bookmarkEnd w:id="21"/>
    </w:p>
    <w:p w:rsidR="00E535A0" w:rsidRDefault="00E535A0">
      <w:pPr>
        <w:spacing w:after="0" w:line="240" w:lineRule="auto"/>
        <w:jc w:val="center"/>
        <w:rPr>
          <w:rFonts w:ascii="Times New Roman" w:eastAsia="Calibri" w:hAnsi="Times New Roman" w:cs="Times New Roman"/>
          <w:b/>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de-DE" w:eastAsia="de-DE"/>
        </w:rPr>
        <w:drawing>
          <wp:inline distT="0" distB="0" distL="0" distR="0" wp14:anchorId="5C9E24B2" wp14:editId="39F2B6C0">
            <wp:extent cx="5232400" cy="2334895"/>
            <wp:effectExtent l="0" t="0" r="25400"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Times New Roman" w:eastAsia="Calibri" w:hAnsi="Times New Roman" w:cs="Times New Roman"/>
          <w:i/>
          <w:noProof/>
          <w:sz w:val="24"/>
          <w:szCs w:val="24"/>
        </w:rPr>
        <w:t xml:space="preserve"> Source: ICF survey of SiS participants (May 2015)</w:t>
      </w:r>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 analysis of the </w:t>
      </w:r>
      <w:r>
        <w:rPr>
          <w:rFonts w:ascii="Times New Roman" w:hAnsi="Times New Roman" w:cs="Times New Roman"/>
          <w:noProof/>
          <w:sz w:val="24"/>
          <w:szCs w:val="24"/>
        </w:rPr>
        <w:t>results reveals that the pattern of expected impacts differs to some extent by theme: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Science Education impacts on scientific advice and decision-making are realised and expected mainly at the local and Regional levels, with relatively little impact at t</w:t>
      </w:r>
      <w:r>
        <w:rPr>
          <w:rFonts w:ascii="Times New Roman" w:hAnsi="Times New Roman" w:cs="Times New Roman"/>
          <w:noProof/>
          <w:sz w:val="24"/>
          <w:szCs w:val="24"/>
        </w:rPr>
        <w:t>he National, European and Global levels.  The lack of impact at National level may reflect a lack of buy-in from, or engagement with, national education authorities and ministries or the ability to bypass national levels of administration and t provide pra</w:t>
      </w:r>
      <w:r>
        <w:rPr>
          <w:rFonts w:ascii="Times New Roman" w:hAnsi="Times New Roman" w:cs="Times New Roman"/>
          <w:noProof/>
          <w:sz w:val="24"/>
          <w:szCs w:val="24"/>
        </w:rPr>
        <w:t>ctical advice at the level of local administrations;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Ethics projects are known and expected to impact mainly on scientific advice and decision-making processes at European level, with relatively low levels of impact expected at the other four levels.  Th</w:t>
      </w:r>
      <w:r>
        <w:rPr>
          <w:rFonts w:ascii="Times New Roman" w:hAnsi="Times New Roman" w:cs="Times New Roman"/>
          <w:noProof/>
          <w:sz w:val="24"/>
          <w:szCs w:val="24"/>
        </w:rPr>
        <w:t xml:space="preserve">is implies that the ethics projects have been engaging with and feeding into mainly EU-level structures and processes, rather than in national systems which are known to be highly heterogeneous. Given the relatively greater development of national systems </w:t>
      </w:r>
      <w:r>
        <w:rPr>
          <w:rFonts w:ascii="Times New Roman" w:hAnsi="Times New Roman" w:cs="Times New Roman"/>
          <w:noProof/>
          <w:sz w:val="24"/>
          <w:szCs w:val="24"/>
        </w:rPr>
        <w:t>for debating research ethics, one might expect subsequent dialogue to be promoted between the EU and Member States in this area;</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Gender equality projects are expected to have a relatively high level of impact at all levels, but more so in Europe (at Euro</w:t>
      </w:r>
      <w:r>
        <w:rPr>
          <w:rFonts w:ascii="Times New Roman" w:hAnsi="Times New Roman" w:cs="Times New Roman"/>
          <w:noProof/>
          <w:sz w:val="24"/>
          <w:szCs w:val="24"/>
        </w:rPr>
        <w:t>pean, National, Regional and local levels) than globally. Impacts are attested to be highest at local level, which in this case perhaps means at Institutional level, given the focus on organisational change;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Governance project impacts are highest at the </w:t>
      </w:r>
      <w:r>
        <w:rPr>
          <w:rFonts w:ascii="Times New Roman" w:hAnsi="Times New Roman" w:cs="Times New Roman"/>
          <w:noProof/>
          <w:sz w:val="24"/>
          <w:szCs w:val="24"/>
        </w:rPr>
        <w:t>National and European levels, given the focus of the theme on governance structures and systems at these levels rather than at local or regional level;</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Open access projects are expected to impact on scientific advice and decision-making processes mainly </w:t>
      </w:r>
      <w:r>
        <w:rPr>
          <w:rFonts w:ascii="Times New Roman" w:hAnsi="Times New Roman" w:cs="Times New Roman"/>
          <w:noProof/>
          <w:sz w:val="24"/>
          <w:szCs w:val="24"/>
        </w:rPr>
        <w:t>at the local and European levels.  This is due to the impact of the theme on individual and institutional decision making around open access (local level), and due to its influence on European Commission (FP7, H2020) rules and approaches to open access pub</w:t>
      </w:r>
      <w:r>
        <w:rPr>
          <w:rFonts w:ascii="Times New Roman" w:hAnsi="Times New Roman" w:cs="Times New Roman"/>
          <w:noProof/>
          <w:sz w:val="24"/>
          <w:szCs w:val="24"/>
        </w:rPr>
        <w:t>lishing; and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Public engagement projects are also expected to exert most of their impacts on scientific advice and decision-making processes at Local and European levels, possibly due to greater engagement and influence on citizens, cities, and institutio</w:t>
      </w:r>
      <w:r>
        <w:rPr>
          <w:rFonts w:ascii="Times New Roman" w:hAnsi="Times New Roman" w:cs="Times New Roman"/>
          <w:noProof/>
          <w:sz w:val="24"/>
          <w:szCs w:val="24"/>
        </w:rPr>
        <w:t>ns (local level) and on the European Commission (European level), as opposed to on national science ministries and research agencies (National level).</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SiS EU Added Value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 more than a decade, the greatest impact of the Commission action in FP6, FP7 and </w:t>
      </w:r>
      <w:r>
        <w:rPr>
          <w:rFonts w:ascii="Times New Roman" w:hAnsi="Times New Roman" w:cs="Times New Roman"/>
          <w:noProof/>
          <w:sz w:val="24"/>
          <w:szCs w:val="24"/>
        </w:rPr>
        <w:t>via the Science and Society Action Plan has been to raise the political importance of Science in Society at the European level, and to raise awareness of the problems and the need for all actors to work together. However, national policymakers found it dif</w:t>
      </w:r>
      <w:r>
        <w:rPr>
          <w:rFonts w:ascii="Times New Roman" w:hAnsi="Times New Roman" w:cs="Times New Roman"/>
          <w:noProof/>
          <w:sz w:val="24"/>
          <w:szCs w:val="24"/>
        </w:rPr>
        <w:t>ficult to engage with the large volume of work carried out. At MS level, Science in Society communities and activities are scarce, small and fragmented, and funding is limited, ad-hoc and embedded within other policy areas. Several common features can be i</w:t>
      </w:r>
      <w:r>
        <w:rPr>
          <w:rFonts w:ascii="Times New Roman" w:hAnsi="Times New Roman" w:cs="Times New Roman"/>
          <w:noProof/>
          <w:sz w:val="24"/>
          <w:szCs w:val="24"/>
        </w:rPr>
        <w:t xml:space="preserve">dentified across Europe, but there are also significant differences and clustering of countries in some areas. Science in society in Europe is dominated by issues related to the role of science and technology for sustainable development and issues related </w:t>
      </w:r>
      <w:r>
        <w:rPr>
          <w:rFonts w:ascii="Times New Roman" w:hAnsi="Times New Roman" w:cs="Times New Roman"/>
          <w:noProof/>
          <w:sz w:val="24"/>
          <w:szCs w:val="24"/>
        </w:rPr>
        <w:t>to the governance of science are dominant among the national debates.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SiS programme has a relatively limited budget, it is seen as one of the main vehicles for accelerating research efforts at the national level. Funding is the most attractive as</w:t>
      </w:r>
      <w:r>
        <w:rPr>
          <w:rFonts w:ascii="Times New Roman" w:hAnsi="Times New Roman" w:cs="Times New Roman"/>
          <w:noProof/>
          <w:sz w:val="24"/>
          <w:szCs w:val="24"/>
        </w:rPr>
        <w:t>pect of the programme from a national perspective because of the lack of alternatives, but as a result it suffers from high levels of competition and low success rates and has difficulties in involving less well-established groups.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Significant reforms of h</w:t>
      </w:r>
      <w:r>
        <w:rPr>
          <w:rFonts w:ascii="Times New Roman" w:hAnsi="Times New Roman" w:cs="Times New Roman"/>
          <w:noProof/>
          <w:sz w:val="24"/>
          <w:szCs w:val="24"/>
        </w:rPr>
        <w:t xml:space="preserve">igher education institutions, combining increased autonomy and professionalization of management, have swept across Europe and stimulated a higher degree of responsiveness towards societal demands, particularly in the shape of increased science - industry </w:t>
      </w:r>
      <w:r>
        <w:rPr>
          <w:rFonts w:ascii="Times New Roman" w:hAnsi="Times New Roman" w:cs="Times New Roman"/>
          <w:noProof/>
          <w:sz w:val="24"/>
          <w:szCs w:val="24"/>
        </w:rPr>
        <w:t>interaction. But while many countries have formalized procedures and opportunities for involving citizens in priority-setting and assessment related to science and technology, the actual degree of public involvement differs significantly, and in some count</w:t>
      </w:r>
      <w:r>
        <w:rPr>
          <w:rFonts w:ascii="Times New Roman" w:hAnsi="Times New Roman" w:cs="Times New Roman"/>
          <w:noProof/>
          <w:sz w:val="24"/>
          <w:szCs w:val="24"/>
        </w:rPr>
        <w:t>ries, nascent civil societies, lack of appropriate institutions, or non-inclusive political culture, form barriers for a more democratic and inclusive governance of science and technology.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issue of 'upstream engagement', which has some resonance at the</w:t>
      </w:r>
      <w:r>
        <w:rPr>
          <w:rFonts w:ascii="Times New Roman" w:hAnsi="Times New Roman" w:cs="Times New Roman"/>
          <w:noProof/>
          <w:sz w:val="24"/>
          <w:szCs w:val="24"/>
        </w:rPr>
        <w:t xml:space="preserve"> EC level, seems to have only moderate saliency in many MS. However, science and technology communication is gaining attention within governments and other institutions, particularly with regard to stimulating science communication at schools and aimed at </w:t>
      </w:r>
      <w:r>
        <w:rPr>
          <w:rFonts w:ascii="Times New Roman" w:hAnsi="Times New Roman" w:cs="Times New Roman"/>
          <w:noProof/>
          <w:sz w:val="24"/>
          <w:szCs w:val="24"/>
        </w:rPr>
        <w:t xml:space="preserve">younger people in general. Currently, there are efforts in some Member States to develop societal frameworks conditions for R&amp;I.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example several Member States (e.g. the Netherlands, France) have started experimenting with a ‘societal challenges’ orien</w:t>
      </w:r>
      <w:r>
        <w:rPr>
          <w:rFonts w:ascii="Times New Roman" w:hAnsi="Times New Roman" w:cs="Times New Roman"/>
          <w:noProof/>
          <w:sz w:val="24"/>
          <w:szCs w:val="24"/>
        </w:rPr>
        <w:t>ted approach for research and innovation funding, which include award criteria that emphasise societal alignment of both research process (public engagement, ethics review) and outcomes (sustainability, industrial leadership). Also, a number of initiatives</w:t>
      </w:r>
      <w:r>
        <w:rPr>
          <w:rFonts w:ascii="Times New Roman" w:hAnsi="Times New Roman" w:cs="Times New Roman"/>
          <w:noProof/>
          <w:sz w:val="24"/>
          <w:szCs w:val="24"/>
        </w:rPr>
        <w:t xml:space="preserve"> have been taken in the Member States (e.g. the UK, Germany, Denmark) to foster pubic dialogue within the policy making process, and furthermore encourage scientific evidence for public policy, including research on societal and stakeholders attitudes. Des</w:t>
      </w:r>
      <w:r>
        <w:rPr>
          <w:rFonts w:ascii="Times New Roman" w:hAnsi="Times New Roman" w:cs="Times New Roman"/>
          <w:noProof/>
          <w:sz w:val="24"/>
          <w:szCs w:val="24"/>
        </w:rPr>
        <w:t>pite the Commission's effort, there is as of today no clear indication of significant progress at MS level, nor at pan-European level.</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address this, the Commission funded targeted FP7 projects in 2012-2013 (RRI Tools, Responsibility, RES-Agora, Great an</w:t>
      </w:r>
      <w:r>
        <w:rPr>
          <w:rFonts w:ascii="Times New Roman" w:hAnsi="Times New Roman" w:cs="Times New Roman"/>
          <w:noProof/>
          <w:sz w:val="24"/>
          <w:szCs w:val="24"/>
        </w:rPr>
        <w:t>d RRI Industry) to mobilise the science/society community at MS-level and to build overall capacity. In Horizon 2020, there has been a strong shift to support institutional change in MS-level R&amp;I to embed science and society.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Evaluation evidence found stro</w:t>
      </w:r>
      <w:r>
        <w:rPr>
          <w:rFonts w:ascii="Times New Roman" w:hAnsi="Times New Roman" w:cs="Times New Roman"/>
          <w:noProof/>
          <w:sz w:val="24"/>
          <w:szCs w:val="24"/>
        </w:rPr>
        <w:t>ng support from EU and national policymakers and from relevant research communities for the work of SiS.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programme helped achieve positive benefits and impacts: a greater awareness and interest in the SiS programme itself and what it is trying to </w:t>
      </w:r>
      <w:r>
        <w:rPr>
          <w:rFonts w:ascii="Times New Roman" w:hAnsi="Times New Roman" w:cs="Times New Roman"/>
          <w:noProof/>
          <w:sz w:val="24"/>
          <w:szCs w:val="24"/>
        </w:rPr>
        <w:t>achieve; a structuring effect on the size, shape and focus of SiS communities and activities nationally; a networking effect between different countries, dispersed communities and stakeholders; a shift in attitudes as to the importance of SiS issues, pushi</w:t>
      </w:r>
      <w:r>
        <w:rPr>
          <w:rFonts w:ascii="Times New Roman" w:hAnsi="Times New Roman" w:cs="Times New Roman"/>
          <w:noProof/>
          <w:sz w:val="24"/>
          <w:szCs w:val="24"/>
        </w:rPr>
        <w:t>ng it up the political agenda and creating debate; plus some more limited and isolated impacts on policy. The international focus of the programme, as measured by involvement of third countries, has improved in quantitative terms from FP6 to FP7 – contrast</w:t>
      </w:r>
      <w:r>
        <w:rPr>
          <w:rFonts w:ascii="Times New Roman" w:hAnsi="Times New Roman" w:cs="Times New Roman"/>
          <w:noProof/>
          <w:sz w:val="24"/>
          <w:szCs w:val="24"/>
        </w:rPr>
        <w:t>ing a general fall from FP6 to FP7 overall.</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these early successes there is limited knowledge and understanding at the national level of the full spectrum of activities being funded through the programme and the impacts flowing from the individual p</w:t>
      </w:r>
      <w:r>
        <w:rPr>
          <w:rFonts w:ascii="Times New Roman" w:hAnsi="Times New Roman" w:cs="Times New Roman"/>
          <w:noProof/>
          <w:sz w:val="24"/>
          <w:szCs w:val="24"/>
        </w:rPr>
        <w:t>rojects are generally low at this stage. Moving forward, SiS is generally regarded as important, both as a research topic and as a part of wider research activities, and national representatives are keen that the momentum and progress achieved so far is no</w:t>
      </w:r>
      <w:r>
        <w:rPr>
          <w:rFonts w:ascii="Times New Roman" w:hAnsi="Times New Roman" w:cs="Times New Roman"/>
          <w:noProof/>
          <w:sz w:val="24"/>
          <w:szCs w:val="24"/>
        </w:rPr>
        <w:t>t lost.  For many there is currently little or no alternative to the European programme and no likelihood of funding becoming available to fill any gap left by a reduced European focus.  The SiS programme, how it is structured, and what it covers is theref</w:t>
      </w:r>
      <w:r>
        <w:rPr>
          <w:rFonts w:ascii="Times New Roman" w:hAnsi="Times New Roman" w:cs="Times New Roman"/>
          <w:noProof/>
          <w:sz w:val="24"/>
          <w:szCs w:val="24"/>
        </w:rPr>
        <w:t>ore of the upmost importance for the SiS community across the continent.</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SiS in H2020: continuity or evolution?</w:t>
      </w:r>
    </w:p>
    <w:p w:rsidR="00E535A0" w:rsidRDefault="00C953F5">
      <w:pPr>
        <w:tabs>
          <w:tab w:val="left" w:pos="3119"/>
        </w:tabs>
        <w:spacing w:after="240" w:line="240" w:lineRule="auto"/>
        <w:jc w:val="both"/>
        <w:rPr>
          <w:rFonts w:ascii="Times New Roman" w:eastAsiaTheme="majorEastAsia" w:hAnsi="Times New Roman" w:cs="Times New Roman"/>
          <w:bCs/>
          <w:noProof/>
          <w:sz w:val="24"/>
          <w:szCs w:val="24"/>
        </w:rPr>
      </w:pPr>
      <w:r>
        <w:rPr>
          <w:rFonts w:ascii="Times New Roman" w:eastAsiaTheme="majorEastAsia" w:hAnsi="Times New Roman" w:cs="Times New Roman"/>
          <w:bCs/>
          <w:noProof/>
          <w:sz w:val="24"/>
          <w:szCs w:val="24"/>
        </w:rPr>
        <w:t>There is a continuity in the sense that Science with and for Society, with its 460 M€, is ensuring that the theme remains on the agenda at the</w:t>
      </w:r>
      <w:r>
        <w:rPr>
          <w:rFonts w:ascii="Times New Roman" w:eastAsiaTheme="majorEastAsia" w:hAnsi="Times New Roman" w:cs="Times New Roman"/>
          <w:bCs/>
          <w:noProof/>
          <w:sz w:val="24"/>
          <w:szCs w:val="24"/>
        </w:rPr>
        <w:t xml:space="preserve"> highest level in Europe. There is an evolution in the sense that the concept of Responsibe research and Innovation is proposed as a transformation tool at the interface between science and society. FP7 SiS has contributed to ensuring that ‘Science with an</w:t>
      </w:r>
      <w:r>
        <w:rPr>
          <w:rFonts w:ascii="Times New Roman" w:eastAsiaTheme="majorEastAsia" w:hAnsi="Times New Roman" w:cs="Times New Roman"/>
          <w:bCs/>
          <w:noProof/>
          <w:sz w:val="24"/>
          <w:szCs w:val="24"/>
        </w:rPr>
        <w:t>d for society’ and ‘RRI’ are both prominent features of Horizon 2020. Various successes in getting RRI concepts and issues featured in national science strategies, statements from funding bodies and foundations, in research agendas, and in research and inn</w:t>
      </w:r>
      <w:r>
        <w:rPr>
          <w:rFonts w:ascii="Times New Roman" w:eastAsiaTheme="majorEastAsia" w:hAnsi="Times New Roman" w:cs="Times New Roman"/>
          <w:bCs/>
          <w:noProof/>
          <w:sz w:val="24"/>
          <w:szCs w:val="24"/>
        </w:rPr>
        <w:t>ovation funding and selection criteria, can also be attributed to the programme.</w:t>
      </w:r>
      <w:r>
        <w:rPr>
          <w:rFonts w:ascii="Times New Roman" w:eastAsiaTheme="majorEastAsia" w:hAnsi="Times New Roman" w:cs="Times New Roman"/>
          <w:bCs/>
          <w:noProof/>
          <w:sz w:val="24"/>
          <w:szCs w:val="24"/>
        </w:rPr>
        <w:br w:type="page"/>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 xml:space="preserve">13.6. </w:t>
      </w:r>
      <w:hyperlink r:id="rId65" w:history="1">
        <w:r>
          <w:rPr>
            <w:rFonts w:ascii="Times New Roman" w:eastAsiaTheme="majorEastAsia" w:hAnsi="Times New Roman" w:cs="Times New Roman"/>
            <w:b/>
            <w:bCs/>
            <w:noProof/>
            <w:sz w:val="24"/>
            <w:szCs w:val="24"/>
          </w:rPr>
          <w:t>Support for the coherent development of research policies</w:t>
        </w:r>
      </w:hyperlink>
    </w:p>
    <w:p w:rsidR="00E535A0" w:rsidRDefault="00E535A0">
      <w:pPr>
        <w:autoSpaceDE w:val="0"/>
        <w:autoSpaceDN w:val="0"/>
        <w:adjustRightInd w:val="0"/>
        <w:spacing w:after="0" w:line="240" w:lineRule="auto"/>
        <w:contextualSpacing/>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CDRP contribute to the compe</w:t>
      </w:r>
      <w:r>
        <w:rPr>
          <w:rFonts w:ascii="Times New Roman" w:hAnsi="Times New Roman" w:cs="Times New Roman"/>
          <w:b/>
          <w:noProof/>
          <w:sz w:val="24"/>
          <w:szCs w:val="24"/>
        </w:rPr>
        <w:t>titiveness of European industry?</w:t>
      </w:r>
    </w:p>
    <w:p w:rsidR="00E535A0" w:rsidRDefault="00C953F5">
      <w:pPr>
        <w:tabs>
          <w:tab w:val="num" w:pos="0"/>
        </w:tabs>
        <w:spacing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noProof/>
          <w:sz w:val="24"/>
          <w:szCs w:val="24"/>
          <w:lang w:eastAsia="en-GB"/>
        </w:rPr>
        <w:t>A pilot action on networks of incubators for social innovation was launched in 2013 to support two European networks to assess, support and scale up social innovations in Europe. For this action, incubators include any orga</w:t>
      </w:r>
      <w:r>
        <w:rPr>
          <w:rFonts w:ascii="Times New Roman" w:eastAsia="Times New Roman" w:hAnsi="Times New Roman" w:cs="Times New Roman"/>
          <w:noProof/>
          <w:sz w:val="24"/>
          <w:szCs w:val="24"/>
          <w:lang w:eastAsia="en-GB"/>
        </w:rPr>
        <w:t xml:space="preserve">nisation that acts as such at local or regional level, including universities and business networks. The two networks, which started in 2013 and will receive an EC contribution of €1 million each in their 3-years duration, are assessing, providing support </w:t>
      </w:r>
      <w:r>
        <w:rPr>
          <w:rFonts w:ascii="Times New Roman" w:eastAsia="Times New Roman" w:hAnsi="Times New Roman" w:cs="Times New Roman"/>
          <w:noProof/>
          <w:sz w:val="24"/>
          <w:szCs w:val="24"/>
          <w:lang w:eastAsia="en-GB"/>
        </w:rPr>
        <w:t>and scaling up hundreds of social innovations from the local communities where they get started across Europe. In parallel, the two projects will also hold a two days Social Innovation Conference, which will bring together other projects in social innovati</w:t>
      </w:r>
      <w:r>
        <w:rPr>
          <w:rFonts w:ascii="Times New Roman" w:eastAsia="Times New Roman" w:hAnsi="Times New Roman" w:cs="Times New Roman"/>
          <w:noProof/>
          <w:sz w:val="24"/>
          <w:szCs w:val="24"/>
          <w:lang w:eastAsia="en-GB"/>
        </w:rPr>
        <w:t xml:space="preserve">on funded by different parts of FP7. </w:t>
      </w:r>
    </w:p>
    <w:p w:rsidR="00E535A0" w:rsidRDefault="00C953F5">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Although still early to assess the success and impact of the two projects supported by this scheme (the projects will be completed in 2016), the monitoring of results so far has shown that there is good progress and im</w:t>
      </w:r>
      <w:r>
        <w:rPr>
          <w:rFonts w:ascii="Times New Roman" w:eastAsia="Times New Roman" w:hAnsi="Times New Roman" w:cs="Times New Roman"/>
          <w:noProof/>
          <w:sz w:val="24"/>
          <w:szCs w:val="24"/>
          <w:lang w:eastAsia="en-GB"/>
        </w:rPr>
        <w:t xml:space="preserve">portant results already (see box below). </w:t>
      </w:r>
    </w:p>
    <w:p w:rsidR="00E535A0" w:rsidRDefault="00E535A0">
      <w:pPr>
        <w:spacing w:after="0" w:line="240" w:lineRule="auto"/>
        <w:jc w:val="both"/>
        <w:rPr>
          <w:rFonts w:ascii="Times New Roman" w:eastAsia="Times New Roman" w:hAnsi="Times New Roman" w:cs="Times New Roman"/>
          <w:noProof/>
          <w:sz w:val="24"/>
          <w:szCs w:val="24"/>
          <w:lang w:eastAsia="en-GB"/>
        </w:rPr>
      </w:pPr>
    </w:p>
    <w:p w:rsidR="00E535A0" w:rsidRDefault="00C953F5">
      <w:pPr>
        <w:pBdr>
          <w:top w:val="single" w:sz="4" w:space="0"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eastAsia="en-GB"/>
        </w:rPr>
        <w:t>Transition (</w:t>
      </w:r>
      <w:r>
        <w:rPr>
          <w:rFonts w:ascii="Times New Roman" w:eastAsia="Times New Roman" w:hAnsi="Times New Roman" w:cs="Times New Roman"/>
          <w:noProof/>
          <w:sz w:val="24"/>
          <w:szCs w:val="24"/>
          <w:lang w:val="en-US" w:eastAsia="en-GB"/>
        </w:rPr>
        <w:t>Transnational Network for Social Innovation Incubation</w:t>
      </w:r>
      <w:r>
        <w:rPr>
          <w:rFonts w:ascii="Times New Roman" w:eastAsia="Times New Roman" w:hAnsi="Times New Roman" w:cs="Times New Roman"/>
          <w:noProof/>
          <w:sz w:val="24"/>
          <w:szCs w:val="24"/>
          <w:vertAlign w:val="superscript"/>
          <w:lang w:val="en-US" w:eastAsia="en-GB"/>
        </w:rPr>
        <w:footnoteReference w:id="37"/>
      </w:r>
      <w:r>
        <w:rPr>
          <w:rFonts w:ascii="Times New Roman" w:eastAsia="Times New Roman" w:hAnsi="Times New Roman" w:cs="Times New Roman"/>
          <w:noProof/>
          <w:sz w:val="24"/>
          <w:szCs w:val="24"/>
          <w:lang w:val="en-US" w:eastAsia="en-GB"/>
        </w:rPr>
        <w:t>)</w:t>
      </w:r>
      <w:r>
        <w:rPr>
          <w:rFonts w:ascii="Times New Roman" w:eastAsia="Times New Roman" w:hAnsi="Times New Roman" w:cs="Times New Roman"/>
          <w:iCs/>
          <w:noProof/>
          <w:sz w:val="24"/>
          <w:szCs w:val="24"/>
          <w:u w:val="single"/>
          <w:lang w:eastAsia="en-GB"/>
        </w:rPr>
        <w:t xml:space="preserve"> </w:t>
      </w:r>
      <w:r>
        <w:rPr>
          <w:rFonts w:ascii="Times New Roman" w:eastAsia="Times New Roman" w:hAnsi="Times New Roman" w:cs="Times New Roman"/>
          <w:noProof/>
          <w:sz w:val="24"/>
          <w:szCs w:val="24"/>
          <w:lang w:eastAsia="en-GB"/>
        </w:rPr>
        <w:t xml:space="preserve">brings together partners from </w:t>
      </w:r>
      <w:r>
        <w:rPr>
          <w:rFonts w:ascii="Times New Roman" w:eastAsia="Times New Roman" w:hAnsi="Times New Roman" w:cs="Times New Roman"/>
          <w:noProof/>
          <w:sz w:val="24"/>
          <w:szCs w:val="24"/>
          <w:lang w:val="en-US" w:eastAsia="en-GB"/>
        </w:rPr>
        <w:t xml:space="preserve">London, Paris Region, the Basque Country, Milan, Tampere and Ireland. By end of 2014 Transition has developed and applied a </w:t>
      </w:r>
      <w:r>
        <w:rPr>
          <w:rFonts w:ascii="Times New Roman" w:eastAsia="Times New Roman" w:hAnsi="Times New Roman" w:cs="Times New Roman"/>
          <w:bCs/>
          <w:noProof/>
          <w:sz w:val="24"/>
          <w:szCs w:val="24"/>
          <w:lang w:val="en-US" w:eastAsia="en-GB"/>
        </w:rPr>
        <w:t>common framework methodology</w:t>
      </w:r>
      <w:r>
        <w:rPr>
          <w:rFonts w:ascii="Times New Roman" w:eastAsia="Times New Roman" w:hAnsi="Times New Roman" w:cs="Times New Roman"/>
          <w:b/>
          <w:bCs/>
          <w:noProof/>
          <w:sz w:val="24"/>
          <w:szCs w:val="24"/>
          <w:lang w:val="en-US" w:eastAsia="en-GB"/>
        </w:rPr>
        <w:t xml:space="preserve"> </w:t>
      </w:r>
      <w:r>
        <w:rPr>
          <w:rFonts w:ascii="Times New Roman" w:eastAsia="Times New Roman" w:hAnsi="Times New Roman" w:cs="Times New Roman"/>
          <w:noProof/>
          <w:sz w:val="24"/>
          <w:szCs w:val="24"/>
          <w:lang w:val="en-US" w:eastAsia="en-GB"/>
        </w:rPr>
        <w:t>that includes a sequence of steps that lead innovators go through as part of the scaling process they e</w:t>
      </w:r>
      <w:r>
        <w:rPr>
          <w:rFonts w:ascii="Times New Roman" w:eastAsia="Times New Roman" w:hAnsi="Times New Roman" w:cs="Times New Roman"/>
          <w:noProof/>
          <w:sz w:val="24"/>
          <w:szCs w:val="24"/>
          <w:lang w:val="en-US" w:eastAsia="en-GB"/>
        </w:rPr>
        <w:t xml:space="preserve">nter in the project. This enables them to gain the skills and capabilities they require to grow. More than 500 </w:t>
      </w:r>
      <w:r>
        <w:rPr>
          <w:rFonts w:ascii="Times New Roman" w:eastAsia="Times New Roman" w:hAnsi="Times New Roman" w:cs="Times New Roman"/>
          <w:bCs/>
          <w:noProof/>
          <w:sz w:val="24"/>
          <w:szCs w:val="24"/>
          <w:lang w:val="en-US" w:eastAsia="en-GB"/>
        </w:rPr>
        <w:t>social innovators across Europe took part in start-up events in six European regions. More than 90 projects entered the incubation programmers.</w:t>
      </w:r>
      <w:r>
        <w:rPr>
          <w:rFonts w:ascii="Times New Roman" w:eastAsia="Times New Roman" w:hAnsi="Times New Roman" w:cs="Times New Roman"/>
          <w:b/>
          <w:bCs/>
          <w:noProof/>
          <w:sz w:val="24"/>
          <w:szCs w:val="24"/>
          <w:lang w:val="en-US" w:eastAsia="en-GB"/>
        </w:rPr>
        <w:t xml:space="preserve"> </w:t>
      </w:r>
      <w:r>
        <w:rPr>
          <w:rFonts w:ascii="Times New Roman" w:eastAsia="Times New Roman" w:hAnsi="Times New Roman" w:cs="Times New Roman"/>
          <w:noProof/>
          <w:sz w:val="24"/>
          <w:szCs w:val="24"/>
          <w:lang w:val="en-US" w:eastAsia="en-GB"/>
        </w:rPr>
        <w:t>T</w:t>
      </w:r>
      <w:r>
        <w:rPr>
          <w:rFonts w:ascii="Times New Roman" w:eastAsia="Times New Roman" w:hAnsi="Times New Roman" w:cs="Times New Roman"/>
          <w:noProof/>
          <w:sz w:val="24"/>
          <w:szCs w:val="24"/>
          <w:lang w:val="en-US" w:eastAsia="en-GB"/>
        </w:rPr>
        <w:t xml:space="preserve">RANSITION also launched a </w:t>
      </w:r>
      <w:r>
        <w:rPr>
          <w:rFonts w:ascii="Times New Roman" w:eastAsia="Times New Roman" w:hAnsi="Times New Roman" w:cs="Times New Roman"/>
          <w:b/>
          <w:bCs/>
          <w:noProof/>
          <w:sz w:val="24"/>
          <w:szCs w:val="24"/>
          <w:lang w:val="en-US" w:eastAsia="en-GB"/>
        </w:rPr>
        <w:t>StartUp Lab</w:t>
      </w:r>
      <w:r>
        <w:rPr>
          <w:rFonts w:ascii="Times New Roman" w:eastAsia="Times New Roman" w:hAnsi="Times New Roman" w:cs="Times New Roman"/>
          <w:noProof/>
          <w:sz w:val="24"/>
          <w:szCs w:val="24"/>
          <w:lang w:val="en-US" w:eastAsia="en-GB"/>
        </w:rPr>
        <w:t>, an acceleration programme dedicated to 6 promising social innovations willing to go international.</w:t>
      </w:r>
    </w:p>
    <w:p w:rsidR="00E535A0" w:rsidRDefault="00E535A0">
      <w:pPr>
        <w:spacing w:after="0" w:line="240" w:lineRule="auto"/>
        <w:jc w:val="both"/>
        <w:rPr>
          <w:rFonts w:ascii="Times New Roman" w:eastAsia="Times New Roman" w:hAnsi="Times New Roman" w:cs="Times New Roman"/>
          <w:noProof/>
          <w:sz w:val="24"/>
          <w:szCs w:val="24"/>
          <w:lang w:val="en-US" w:eastAsia="en-GB"/>
        </w:rPr>
      </w:pPr>
    </w:p>
    <w:p w:rsidR="00E535A0" w:rsidRDefault="00C953F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noProof/>
          <w:sz w:val="24"/>
          <w:szCs w:val="24"/>
          <w:lang w:val="en" w:eastAsia="en-GB"/>
        </w:rPr>
      </w:pPr>
      <w:r>
        <w:rPr>
          <w:rFonts w:ascii="Times New Roman" w:eastAsia="Times New Roman" w:hAnsi="Times New Roman" w:cs="Times New Roman"/>
          <w:noProof/>
          <w:sz w:val="24"/>
          <w:szCs w:val="24"/>
          <w:lang w:val="en-US" w:eastAsia="en-GB"/>
        </w:rPr>
        <w:t xml:space="preserve">BENISI </w:t>
      </w:r>
      <w:r>
        <w:rPr>
          <w:rFonts w:ascii="Times New Roman" w:eastAsia="Times New Roman" w:hAnsi="Times New Roman" w:cs="Times New Roman"/>
          <w:noProof/>
          <w:sz w:val="24"/>
          <w:szCs w:val="24"/>
          <w:lang w:val="en" w:eastAsia="en-GB"/>
        </w:rPr>
        <w:t>(Building a European Network of European Network of Incubators for Social Innovation</w:t>
      </w:r>
      <w:r>
        <w:rPr>
          <w:rFonts w:ascii="Times New Roman" w:eastAsia="Times New Roman" w:hAnsi="Times New Roman" w:cs="Times New Roman"/>
          <w:noProof/>
          <w:sz w:val="24"/>
          <w:szCs w:val="24"/>
          <w:vertAlign w:val="superscript"/>
          <w:lang w:val="en" w:eastAsia="en-GB"/>
        </w:rPr>
        <w:footnoteReference w:id="38"/>
      </w:r>
      <w:r>
        <w:rPr>
          <w:rFonts w:ascii="Times New Roman" w:eastAsia="Times New Roman" w:hAnsi="Times New Roman" w:cs="Times New Roman"/>
          <w:noProof/>
          <w:sz w:val="24"/>
          <w:szCs w:val="24"/>
          <w:lang w:val="en" w:eastAsia="en-GB"/>
        </w:rPr>
        <w:t>)</w:t>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4"/>
          <w:lang w:eastAsia="en-GB"/>
        </w:rPr>
        <w:t xml:space="preserve">started </w:t>
      </w:r>
      <w:r>
        <w:rPr>
          <w:rFonts w:ascii="Times New Roman" w:eastAsia="Times New Roman" w:hAnsi="Times New Roman" w:cs="Times New Roman"/>
          <w:noProof/>
          <w:sz w:val="24"/>
          <w:szCs w:val="24"/>
          <w:lang w:val="en" w:eastAsia="en-GB"/>
        </w:rPr>
        <w:t xml:space="preserve">on 1 May 2013 </w:t>
      </w:r>
      <w:r>
        <w:rPr>
          <w:rFonts w:ascii="Times New Roman" w:eastAsia="Times New Roman" w:hAnsi="Times New Roman" w:cs="Times New Roman"/>
          <w:noProof/>
          <w:sz w:val="24"/>
          <w:szCs w:val="24"/>
          <w:lang w:val="en" w:eastAsia="en-GB"/>
        </w:rPr>
        <w:t>with the objective to identify and scale up 300 most promising social innovations over 36 months. Up to mid 2014 the project has developed and applied a common infrastructure to share data among the partners and facilitate learning. More than 110 social in</w:t>
      </w:r>
      <w:r>
        <w:rPr>
          <w:rFonts w:ascii="Times New Roman" w:eastAsia="Times New Roman" w:hAnsi="Times New Roman" w:cs="Times New Roman"/>
          <w:noProof/>
          <w:sz w:val="24"/>
          <w:szCs w:val="24"/>
          <w:lang w:val="en" w:eastAsia="en-GB"/>
        </w:rPr>
        <w:t>novations are in the process of being scaled up.</w:t>
      </w:r>
      <w:r>
        <w:rPr>
          <w:rFonts w:ascii="Times New Roman" w:eastAsia="Times New Roman" w:hAnsi="Times New Roman" w:cs="Times New Roman"/>
          <w:b/>
          <w:noProof/>
          <w:sz w:val="24"/>
          <w:szCs w:val="24"/>
          <w:lang w:val="en" w:eastAsia="en-GB"/>
        </w:rPr>
        <w:t xml:space="preserve"> </w:t>
      </w:r>
    </w:p>
    <w:p w:rsidR="00E535A0" w:rsidRDefault="00C953F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BENISI has also developed an open network structure allowing diverse stakeholders to participate and support scaling (Social Innovation Ambassadors Network). In order to increase the awareness over the role</w:t>
      </w:r>
      <w:r>
        <w:rPr>
          <w:rFonts w:ascii="Times New Roman" w:eastAsia="Times New Roman" w:hAnsi="Times New Roman" w:cs="Times New Roman"/>
          <w:noProof/>
          <w:sz w:val="24"/>
          <w:szCs w:val="24"/>
          <w:lang w:val="en" w:eastAsia="en-GB"/>
        </w:rPr>
        <w:t xml:space="preserve"> of incubation in scaling up social innovation the BENISI project organizes large events, as well as more than 150 sessions open to public across the EU, with more than 1000 innovators taking part.</w:t>
      </w:r>
    </w:p>
    <w:p w:rsidR="00E535A0" w:rsidRDefault="00E535A0">
      <w:pPr>
        <w:spacing w:line="240" w:lineRule="auto"/>
        <w:jc w:val="both"/>
        <w:rPr>
          <w:rFonts w:ascii="Times New Roman" w:hAnsi="Times New Roman" w:cs="Times New Roman"/>
          <w:noProof/>
          <w:sz w:val="24"/>
          <w:szCs w:val="24"/>
        </w:rPr>
      </w:pP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CDRP strengthen the scientific excellence of ba</w:t>
      </w:r>
      <w:r>
        <w:rPr>
          <w:rFonts w:ascii="Times New Roman" w:hAnsi="Times New Roman" w:cs="Times New Roman"/>
          <w:b/>
          <w:noProof/>
          <w:sz w:val="24"/>
          <w:szCs w:val="24"/>
        </w:rPr>
        <w:t xml:space="preserve">sic research in Europe? </w:t>
      </w:r>
    </w:p>
    <w:p w:rsidR="00E535A0" w:rsidRDefault="00E535A0">
      <w:pPr>
        <w:autoSpaceDE w:val="0"/>
        <w:autoSpaceDN w:val="0"/>
        <w:adjustRightInd w:val="0"/>
        <w:spacing w:after="0" w:line="240" w:lineRule="auto"/>
        <w:ind w:left="720"/>
        <w:contextualSpacing/>
        <w:jc w:val="both"/>
        <w:rPr>
          <w:rFonts w:ascii="Times New Roman" w:hAnsi="Times New Roman" w:cs="Times New Roman"/>
          <w:b/>
          <w:noProof/>
          <w:sz w:val="24"/>
          <w:szCs w:val="24"/>
        </w:rPr>
      </w:pPr>
    </w:p>
    <w:p w:rsidR="00E535A0" w:rsidRDefault="00C953F5">
      <w:pPr>
        <w:spacing w:line="240" w:lineRule="auto"/>
        <w:contextualSpacing/>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The EU Prize for Women Innovators was piloted in the CDRP WP 2011 and was continued in the CDRP WP 2013. The award was designed to address women who did research, had received either Framework of CIP funding, and founded an innova</w:t>
      </w:r>
      <w:r>
        <w:rPr>
          <w:rFonts w:ascii="Times New Roman" w:eastAsia="Times New Roman" w:hAnsi="Times New Roman" w:cs="Times New Roman"/>
          <w:noProof/>
          <w:sz w:val="24"/>
          <w:szCs w:val="24"/>
          <w:lang w:val="en-US" w:eastAsia="en-GB"/>
        </w:rPr>
        <w:t>tive company. The prizes reward three women following a European-wide contest who have founded or co-founded a company and who have at some point of their careers benefitted from the EU funding. Over 150 applications were received in both editions of the c</w:t>
      </w:r>
      <w:r>
        <w:rPr>
          <w:rFonts w:ascii="Times New Roman" w:eastAsia="Times New Roman" w:hAnsi="Times New Roman" w:cs="Times New Roman"/>
          <w:noProof/>
          <w:sz w:val="24"/>
          <w:szCs w:val="24"/>
          <w:lang w:val="en-US" w:eastAsia="en-GB"/>
        </w:rPr>
        <w:t>ontest coming from women innovators across a vast range of sectors with a very diverse applicant pool in which almost all Member states and associated countries had been represented. The pilot prizes were awarded at the Innovation Convention in December 20</w:t>
      </w:r>
      <w:r>
        <w:rPr>
          <w:rFonts w:ascii="Times New Roman" w:eastAsia="Times New Roman" w:hAnsi="Times New Roman" w:cs="Times New Roman"/>
          <w:noProof/>
          <w:sz w:val="24"/>
          <w:szCs w:val="24"/>
          <w:lang w:val="en-US" w:eastAsia="en-GB"/>
        </w:rPr>
        <w:t>12 and the second edition was awarded during the second Innovation Convention in March 2014.</w:t>
      </w:r>
    </w:p>
    <w:p w:rsidR="00E535A0" w:rsidRDefault="00E535A0">
      <w:pPr>
        <w:spacing w:line="240" w:lineRule="auto"/>
        <w:contextualSpacing/>
        <w:jc w:val="both"/>
        <w:rPr>
          <w:rFonts w:ascii="Times New Roman" w:eastAsia="Times New Roman" w:hAnsi="Times New Roman" w:cs="Times New Roman"/>
          <w:noProof/>
          <w:sz w:val="24"/>
          <w:szCs w:val="24"/>
          <w:lang w:val="en-US" w:eastAsia="en-GB"/>
        </w:rPr>
      </w:pPr>
    </w:p>
    <w:p w:rsidR="00E535A0" w:rsidRDefault="00C953F5">
      <w:pPr>
        <w:spacing w:line="240" w:lineRule="auto"/>
        <w:contextualSpacing/>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 xml:space="preserve">The turn-out and impact of the two editions of the EU Prize for Women Innovators is highly successful. It shows the need for such a contest to put attention to </w:t>
      </w:r>
      <w:r>
        <w:rPr>
          <w:rFonts w:ascii="Times New Roman" w:eastAsia="Times New Roman" w:hAnsi="Times New Roman" w:cs="Times New Roman"/>
          <w:noProof/>
          <w:sz w:val="24"/>
          <w:szCs w:val="24"/>
          <w:lang w:val="en-US" w:eastAsia="en-GB"/>
        </w:rPr>
        <w:t>the still untapped pool of successful women entrepreneurs in Europe and it gave evidence of the impact of DG RTD research funding since it spotlights research–driven innovations by women entrepreneurs who have benefited from EU funding in their careers.</w:t>
      </w:r>
    </w:p>
    <w:p w:rsidR="00E535A0" w:rsidRDefault="00E535A0">
      <w:pPr>
        <w:spacing w:after="0" w:line="240" w:lineRule="auto"/>
        <w:jc w:val="both"/>
        <w:rPr>
          <w:rFonts w:ascii="Times New Roman"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H</w:t>
      </w:r>
      <w:r>
        <w:rPr>
          <w:rFonts w:ascii="Times New Roman" w:hAnsi="Times New Roman" w:cs="Times New Roman"/>
          <w:b/>
          <w:noProof/>
          <w:sz w:val="24"/>
          <w:szCs w:val="24"/>
        </w:rPr>
        <w:t>ow did FP7 CDRP support key Community policies?</w:t>
      </w:r>
    </w:p>
    <w:p w:rsidR="00E535A0" w:rsidRDefault="00E535A0">
      <w:pPr>
        <w:autoSpaceDE w:val="0"/>
        <w:autoSpaceDN w:val="0"/>
        <w:adjustRightInd w:val="0"/>
        <w:spacing w:after="0" w:line="240" w:lineRule="auto"/>
        <w:contextualSpacing/>
        <w:jc w:val="both"/>
        <w:rPr>
          <w:rFonts w:ascii="Times New Roman" w:eastAsia="Times New Roman" w:hAnsi="Times New Roman" w:cs="Times New Roman"/>
          <w:b/>
          <w:noProof/>
          <w:sz w:val="24"/>
          <w:szCs w:val="24"/>
          <w:u w:val="single"/>
          <w:lang w:eastAsia="en-GB"/>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Coherent Development of Research Policies (CDRP) activity</w:t>
      </w:r>
      <w:r>
        <w:rPr>
          <w:rFonts w:ascii="Times New Roman" w:hAnsi="Times New Roman" w:cs="Times New Roman"/>
          <w:noProof/>
          <w:sz w:val="24"/>
          <w:szCs w:val="24"/>
          <w:vertAlign w:val="superscript"/>
        </w:rPr>
        <w:footnoteReference w:id="39"/>
      </w:r>
      <w:r>
        <w:rPr>
          <w:rFonts w:ascii="Times New Roman" w:hAnsi="Times New Roman" w:cs="Times New Roman"/>
          <w:noProof/>
          <w:sz w:val="24"/>
          <w:szCs w:val="24"/>
        </w:rPr>
        <w:t xml:space="preserve"> met the expectations regarding the building up of a demand-led evidence base for decision making. CDRP has been more a collector and synthesizer</w:t>
      </w:r>
      <w:r>
        <w:rPr>
          <w:rFonts w:ascii="Times New Roman" w:hAnsi="Times New Roman" w:cs="Times New Roman"/>
          <w:noProof/>
          <w:sz w:val="24"/>
          <w:szCs w:val="24"/>
        </w:rPr>
        <w:t xml:space="preserve"> of existing knowledge rather than a producer of new knowledge. Part of CDRP’s relative advantage comes from doing this well. One of the major strengths of CDRP was its ability to recruit, as authors of the studies and analyses, competent experts from Euro</w:t>
      </w:r>
      <w:r>
        <w:rPr>
          <w:rFonts w:ascii="Times New Roman" w:hAnsi="Times New Roman" w:cs="Times New Roman"/>
          <w:noProof/>
          <w:sz w:val="24"/>
          <w:szCs w:val="24"/>
        </w:rPr>
        <w:t xml:space="preserve">pean administrations, consulting companies, research institutes and universities, even if the same names regularly reoccur. </w:t>
      </w:r>
    </w:p>
    <w:p w:rsidR="00E535A0" w:rsidRDefault="00C953F5">
      <w:pPr>
        <w:spacing w:line="240" w:lineRule="auto"/>
        <w:jc w:val="both"/>
        <w:rPr>
          <w:rFonts w:ascii="Times New Roman" w:hAnsi="Times New Roman" w:cs="Times New Roman"/>
          <w:noProof/>
          <w:sz w:val="24"/>
          <w:szCs w:val="24"/>
          <w:lang w:val="en-US"/>
        </w:rPr>
      </w:pPr>
      <w:r>
        <w:rPr>
          <w:rFonts w:ascii="Times New Roman" w:eastAsia="Calibri" w:hAnsi="Times New Roman" w:cs="Times New Roman"/>
          <w:noProof/>
          <w:sz w:val="24"/>
          <w:szCs w:val="24"/>
        </w:rPr>
        <w:t>Under CDRP,   the focus of the activities has changed over time to match the evolution in EU R&amp;I priorities, moving from the Lisbon</w:t>
      </w:r>
      <w:r>
        <w:rPr>
          <w:rFonts w:ascii="Times New Roman" w:eastAsia="Calibri" w:hAnsi="Times New Roman" w:cs="Times New Roman"/>
          <w:noProof/>
          <w:sz w:val="24"/>
          <w:szCs w:val="24"/>
        </w:rPr>
        <w:t xml:space="preserve"> Agenda to the ERA and Innovation Union. In this respect, most of the activities have been designed to contribute to the improvement of the coherence and impact of the EU policies and initiatives, and have included, for example, ERAWATCH activities (provid</w:t>
      </w:r>
      <w:r>
        <w:rPr>
          <w:rFonts w:ascii="Times New Roman" w:eastAsia="Calibri" w:hAnsi="Times New Roman" w:cs="Times New Roman"/>
          <w:noProof/>
          <w:sz w:val="24"/>
          <w:szCs w:val="24"/>
        </w:rPr>
        <w:t>ing data regarding the state of play of the ERA in Member States) and reports published by the permanent expert groups (EFFLA, ERIAB, I4G and K4G).</w:t>
      </w:r>
    </w:p>
    <w:p w:rsidR="00E535A0" w:rsidRDefault="00C953F5">
      <w:pPr>
        <w:spacing w:line="240" w:lineRule="auto"/>
        <w:rPr>
          <w:rFonts w:eastAsiaTheme="majorEastAsia"/>
          <w:bCs/>
          <w:noProof/>
          <w:sz w:val="26"/>
          <w:szCs w:val="26"/>
        </w:rPr>
      </w:pPr>
      <w:r>
        <w:rPr>
          <w:rFonts w:eastAsiaTheme="majorEastAsia"/>
          <w:bCs/>
          <w:noProof/>
          <w:sz w:val="26"/>
          <w:szCs w:val="26"/>
        </w:rPr>
        <w:br w:type="page"/>
      </w:r>
    </w:p>
    <w:p w:rsidR="00E535A0" w:rsidRDefault="00C953F5">
      <w:pPr>
        <w:spacing w:line="240"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 xml:space="preserve">13.7. </w:t>
      </w:r>
      <w:hyperlink r:id="rId66" w:history="1">
        <w:r>
          <w:rPr>
            <w:rFonts w:ascii="Times New Roman" w:eastAsiaTheme="majorEastAsia" w:hAnsi="Times New Roman" w:cs="Times New Roman"/>
            <w:b/>
            <w:bCs/>
            <w:noProof/>
            <w:sz w:val="24"/>
            <w:szCs w:val="24"/>
          </w:rPr>
          <w:t>International Cooperation</w:t>
        </w:r>
      </w:hyperlink>
      <w:r>
        <w:rPr>
          <w:rFonts w:ascii="Times New Roman" w:eastAsiaTheme="majorEastAsia" w:hAnsi="Times New Roman" w:cs="Times New Roman"/>
          <w:b/>
          <w:bCs/>
          <w:noProof/>
          <w:sz w:val="24"/>
          <w:szCs w:val="24"/>
        </w:rPr>
        <w:t xml:space="preserve"> (INCO)</w:t>
      </w: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bCs/>
          <w:noProof/>
          <w:sz w:val="24"/>
          <w:szCs w:val="24"/>
          <w:lang w:val="en" w:eastAsia="en-GB"/>
        </w:rPr>
        <w:t xml:space="preserve">INCO has created new international partnerships between the European research community and the ENP countries, between the EU and third countries and with developing countries, and also partnerships between the EU and other regions in the world.  The INCO </w:t>
      </w:r>
      <w:r>
        <w:rPr>
          <w:rFonts w:ascii="Times New Roman" w:eastAsia="Times New Roman" w:hAnsi="Times New Roman" w:cs="Times New Roman"/>
          <w:bCs/>
          <w:noProof/>
          <w:sz w:val="24"/>
          <w:szCs w:val="24"/>
          <w:lang w:val="en" w:eastAsia="en-GB"/>
        </w:rPr>
        <w:t>partnerships and activities consolidate and reinforce trans-European and international networks. A further impact, less quantifiable but nonetheless essential to international cooperation, is the confidence-building that comes with participation, and the c</w:t>
      </w:r>
      <w:r>
        <w:rPr>
          <w:rFonts w:ascii="Times New Roman" w:eastAsia="Times New Roman" w:hAnsi="Times New Roman" w:cs="Times New Roman"/>
          <w:bCs/>
          <w:noProof/>
          <w:sz w:val="24"/>
          <w:szCs w:val="24"/>
          <w:lang w:val="en" w:eastAsia="en-GB"/>
        </w:rPr>
        <w:t xml:space="preserve">hanges to mutual understanding/ knowledge and to practice that is associated with international collaboration and shared efforts – outcomes that are essential to integrating research networks. </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bCs/>
          <w:noProof/>
          <w:sz w:val="24"/>
          <w:szCs w:val="24"/>
          <w:lang w:val="en" w:eastAsia="en-GB"/>
        </w:rPr>
        <w:t>The INCO Activity provided the framework for coordination and</w:t>
      </w:r>
      <w:r>
        <w:rPr>
          <w:rFonts w:ascii="Times New Roman" w:eastAsia="Times New Roman" w:hAnsi="Times New Roman" w:cs="Times New Roman"/>
          <w:bCs/>
          <w:noProof/>
          <w:sz w:val="24"/>
          <w:szCs w:val="24"/>
          <w:lang w:val="en" w:eastAsia="en-GB"/>
        </w:rPr>
        <w:t xml:space="preserve"> support actions to foster cooperation between participants in the ten activities. Direct achievements of the INCO projects range across outcomes that include participation rates (levels and types of participants), networking activities, and capacity-build</w:t>
      </w:r>
      <w:r>
        <w:rPr>
          <w:rFonts w:ascii="Times New Roman" w:eastAsia="Times New Roman" w:hAnsi="Times New Roman" w:cs="Times New Roman"/>
          <w:bCs/>
          <w:noProof/>
          <w:sz w:val="24"/>
          <w:szCs w:val="24"/>
          <w:lang w:val="en" w:eastAsia="en-GB"/>
        </w:rPr>
        <w:t xml:space="preserve">ing actions. Many of the activities undertaken by the projects could be classified as networking and capacity-building. </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bCs/>
          <w:noProof/>
          <w:sz w:val="24"/>
          <w:szCs w:val="24"/>
          <w:lang w:val="en" w:eastAsia="en-GB"/>
        </w:rPr>
        <w:t>Across the INCO activity, 1326 partners are involved in international cooperation, 813 from the MS/ACs and 513 from third countries. I</w:t>
      </w:r>
      <w:r>
        <w:rPr>
          <w:rFonts w:ascii="Times New Roman" w:eastAsia="Times New Roman" w:hAnsi="Times New Roman" w:cs="Times New Roman"/>
          <w:bCs/>
          <w:noProof/>
          <w:sz w:val="24"/>
          <w:szCs w:val="24"/>
          <w:lang w:val="en" w:eastAsia="en-GB"/>
        </w:rPr>
        <w:t>n total, 61% of the partners are from the EU (member states and associated countries), and 39% are from the third countries. The total number of projects funded is 156. Taking stock of INCO in numerical terms, the conclusion is that the critical mass in in</w:t>
      </w:r>
      <w:r>
        <w:rPr>
          <w:rFonts w:ascii="Times New Roman" w:eastAsia="Times New Roman" w:hAnsi="Times New Roman" w:cs="Times New Roman"/>
          <w:bCs/>
          <w:noProof/>
          <w:sz w:val="24"/>
          <w:szCs w:val="24"/>
          <w:lang w:val="en" w:eastAsia="en-GB"/>
        </w:rPr>
        <w:t>ternational participation has been secured.</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bCs/>
          <w:noProof/>
          <w:sz w:val="24"/>
          <w:szCs w:val="24"/>
          <w:lang w:val="en" w:eastAsia="en-GB"/>
        </w:rPr>
        <w:t xml:space="preserve">The projects funded in the last two INCONET calls have an increased focus on involving industry in networking events in order to promote innovation. Countries have different and often distinct national systems, </w:t>
      </w:r>
      <w:r>
        <w:rPr>
          <w:rFonts w:ascii="Times New Roman" w:eastAsia="Times New Roman" w:hAnsi="Times New Roman" w:cs="Times New Roman"/>
          <w:bCs/>
          <w:noProof/>
          <w:sz w:val="24"/>
          <w:szCs w:val="24"/>
          <w:lang w:val="en" w:eastAsia="en-GB"/>
        </w:rPr>
        <w:t>and the collaboration between the research community and industry can vary substantially. This is where networking activities can be useful in bringing researchers and users together, and effect a gradual change in practice.</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spacing w:after="0" w:line="240" w:lineRule="auto"/>
        <w:jc w:val="both"/>
        <w:outlineLvl w:val="5"/>
        <w:rPr>
          <w:rFonts w:ascii="Times New Roman" w:eastAsia="Times New Roman" w:hAnsi="Times New Roman" w:cs="Times New Roman"/>
          <w:bCs/>
          <w:noProof/>
          <w:sz w:val="24"/>
          <w:szCs w:val="24"/>
          <w:lang w:val="en" w:eastAsia="en-GB"/>
        </w:rPr>
      </w:pPr>
      <w:r>
        <w:rPr>
          <w:rFonts w:ascii="Times New Roman" w:eastAsia="Times New Roman" w:hAnsi="Times New Roman" w:cs="Times New Roman"/>
          <w:bCs/>
          <w:noProof/>
          <w:sz w:val="24"/>
          <w:szCs w:val="24"/>
          <w:lang w:val="en" w:eastAsia="en-GB"/>
        </w:rPr>
        <w:t>Networking and partnership-bui</w:t>
      </w:r>
      <w:r>
        <w:rPr>
          <w:rFonts w:ascii="Times New Roman" w:eastAsia="Times New Roman" w:hAnsi="Times New Roman" w:cs="Times New Roman"/>
          <w:bCs/>
          <w:noProof/>
          <w:sz w:val="24"/>
          <w:szCs w:val="24"/>
          <w:lang w:val="en" w:eastAsia="en-GB"/>
        </w:rPr>
        <w:t xml:space="preserve">lding was facilitated through the mapping of third country research landscapes, brokerage events, fact-finding missions, and travel grant schemes. INCO projects also disseminated information on FP7 through the websites, newsletters, conferences, workshops </w:t>
      </w:r>
      <w:r>
        <w:rPr>
          <w:rFonts w:ascii="Times New Roman" w:eastAsia="Times New Roman" w:hAnsi="Times New Roman" w:cs="Times New Roman"/>
          <w:bCs/>
          <w:noProof/>
          <w:sz w:val="24"/>
          <w:szCs w:val="24"/>
          <w:lang w:val="en" w:eastAsia="en-GB"/>
        </w:rPr>
        <w:t>and information sessions.</w:t>
      </w:r>
    </w:p>
    <w:p w:rsidR="00E535A0" w:rsidRDefault="00E535A0">
      <w:pPr>
        <w:spacing w:after="0" w:line="240" w:lineRule="auto"/>
        <w:jc w:val="both"/>
        <w:outlineLvl w:val="5"/>
        <w:rPr>
          <w:rFonts w:ascii="Times New Roman" w:eastAsia="Times New Roman" w:hAnsi="Times New Roman" w:cs="Times New Roman"/>
          <w:bCs/>
          <w:noProof/>
          <w:sz w:val="24"/>
          <w:szCs w:val="24"/>
          <w:lang w:val="en" w:eastAsia="en-GB"/>
        </w:rPr>
      </w:pPr>
    </w:p>
    <w:p w:rsidR="00E535A0" w:rsidRDefault="00C953F5">
      <w:pPr>
        <w:autoSpaceDE w:val="0"/>
        <w:autoSpaceDN w:val="0"/>
        <w:adjustRightInd w:val="0"/>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How did INCO contribute to improve the coordination of European, national and regional research policies?</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INCO instruments were designed to support a policy dialogue that brings together representatives of the European Commissio</w:t>
      </w:r>
      <w:r>
        <w:rPr>
          <w:rFonts w:ascii="Times New Roman" w:hAnsi="Times New Roman" w:cs="Times New Roman"/>
          <w:noProof/>
          <w:sz w:val="24"/>
          <w:szCs w:val="24"/>
        </w:rPr>
        <w:t>n,  the EU Member States and the third country, or group of countries in a region, for discussions aimed at promoting cooperation in science and technology, with the objective of formulating action plans and roadmaps for cooperation – particularly the BILA</w:t>
      </w:r>
      <w:r>
        <w:rPr>
          <w:rFonts w:ascii="Times New Roman" w:hAnsi="Times New Roman" w:cs="Times New Roman"/>
          <w:noProof/>
          <w:sz w:val="24"/>
          <w:szCs w:val="24"/>
        </w:rPr>
        <w:t>Ts (bilateral coordination between EU MS/AC and individual third countries) and INCONETs (bi-regional cooperation between MS/AC and third country regions). BILAT activities were directed at third countries that had signed an S&amp;T agreement with the European</w:t>
      </w:r>
      <w:r>
        <w:rPr>
          <w:rFonts w:ascii="Times New Roman" w:hAnsi="Times New Roman" w:cs="Times New Roman"/>
          <w:noProof/>
          <w:sz w:val="24"/>
          <w:szCs w:val="24"/>
        </w:rPr>
        <w:t xml:space="preserve"> Union, and the objectives of the BILAT actions included providing information on programmes designed to promote cooperation between Europe and specific third countries, and identifying the mutual benefits to be derived from S&amp;T cooperation.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Across the t</w:t>
      </w:r>
      <w:r>
        <w:rPr>
          <w:rFonts w:ascii="Times New Roman" w:hAnsi="Times New Roman" w:cs="Times New Roman"/>
          <w:noProof/>
          <w:sz w:val="24"/>
          <w:szCs w:val="24"/>
        </w:rPr>
        <w:t xml:space="preserve">en INCO activities, projects concentrated efforts on gathering information about the existing collaborations and policy support, dissemination and monitoring activities. Though the results of these efforts were varied, substantial knowledge about national </w:t>
      </w:r>
      <w:r>
        <w:rPr>
          <w:rFonts w:ascii="Times New Roman" w:hAnsi="Times New Roman" w:cs="Times New Roman"/>
          <w:noProof/>
          <w:sz w:val="24"/>
          <w:szCs w:val="24"/>
        </w:rPr>
        <w:t>research and innovation capacities and research policy priorities, national supply and demand conditions, and the identification of key researchers and research actors has proved fruitful in generating a varied data-base to support international cooperatio</w:t>
      </w:r>
      <w:r>
        <w:rPr>
          <w:rFonts w:ascii="Times New Roman" w:hAnsi="Times New Roman" w:cs="Times New Roman"/>
          <w:noProof/>
          <w:sz w:val="24"/>
          <w:szCs w:val="24"/>
        </w:rPr>
        <w:t>n activities into H2020.</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after="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How did INCO support key Community policies?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International Cooperation activity (INCO) succeeded in achieving a critical mass in international participation, capitalising on the links established through other FP7 programmes.</w:t>
      </w:r>
      <w:r>
        <w:rPr>
          <w:rFonts w:ascii="Times New Roman" w:hAnsi="Times New Roman" w:cs="Times New Roman"/>
          <w:noProof/>
          <w:sz w:val="24"/>
          <w:szCs w:val="24"/>
        </w:rPr>
        <w:t xml:space="preserve"> At the same time, INCO participation did not guarantee access to the bigger projects in the FP7 thematic programmes.  This highlights the importance of involving the other Research family DGs and DEVCO early in the process.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INCO projects contributed to th</w:t>
      </w:r>
      <w:r>
        <w:rPr>
          <w:rFonts w:ascii="Times New Roman" w:eastAsia="Calibri" w:hAnsi="Times New Roman" w:cs="Times New Roman"/>
          <w:noProof/>
          <w:sz w:val="24"/>
          <w:szCs w:val="24"/>
        </w:rPr>
        <w:t>e policy dialogue through intelligence-gathering activities such as documenting the S&amp;T policies, compiling inventories on research specialists and expertise, mapping skills and infrastructure, conducting interviews with stakeholders and organising discuss</w:t>
      </w:r>
      <w:r>
        <w:rPr>
          <w:rFonts w:ascii="Times New Roman" w:eastAsia="Calibri" w:hAnsi="Times New Roman" w:cs="Times New Roman"/>
          <w:noProof/>
          <w:sz w:val="24"/>
          <w:szCs w:val="24"/>
        </w:rPr>
        <w:t>ions. INCO-NET projects undertook activities to identify common research priorities in the participating countries, and contributed to capacity-building through the provision of training for third country Contact Points.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R2I</w:t>
      </w:r>
      <w:r>
        <w:rPr>
          <w:rFonts w:ascii="Times New Roman" w:eastAsia="Calibri" w:hAnsi="Times New Roman" w:cs="Times New Roman"/>
          <w:b/>
          <w:noProof/>
          <w:sz w:val="24"/>
          <w:szCs w:val="24"/>
        </w:rPr>
        <w:t xml:space="preserve"> </w:t>
      </w:r>
      <w:r>
        <w:rPr>
          <w:rFonts w:ascii="Times New Roman" w:eastAsia="Calibri" w:hAnsi="Times New Roman" w:cs="Times New Roman"/>
          <w:noProof/>
          <w:sz w:val="24"/>
          <w:szCs w:val="24"/>
        </w:rPr>
        <w:t>projects contributed to mapping third country research and innovation systems and strategies, providing industry analyses, identifying stakeholders, competencies, infrastructures, business promotion services  (including business parks and incubators), as w</w:t>
      </w:r>
      <w:r>
        <w:rPr>
          <w:rFonts w:ascii="Times New Roman" w:eastAsia="Calibri" w:hAnsi="Times New Roman" w:cs="Times New Roman"/>
          <w:noProof/>
          <w:sz w:val="24"/>
          <w:szCs w:val="24"/>
        </w:rPr>
        <w:t xml:space="preserve">ell as preparing supply and demand analyses to identify bottlenecks and barriers to research and innovation.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INCONET activity supported bi-regional coordination with strategic partners that are key to the EU’s foreign policy and external relations, in</w:t>
      </w:r>
      <w:r>
        <w:rPr>
          <w:rFonts w:ascii="Times New Roman" w:eastAsia="Calibri" w:hAnsi="Times New Roman" w:cs="Times New Roman"/>
          <w:noProof/>
          <w:sz w:val="24"/>
          <w:szCs w:val="24"/>
        </w:rPr>
        <w:t>cluding Africa, Latin and Central America, ASEAN, the Arab Gulf, the Pacific, and Western Balkans. Similarly, the BILAT activity reflected ongoing scientific and political priorities in the engagement with individual countries including (Argentina, Austral</w:t>
      </w:r>
      <w:r>
        <w:rPr>
          <w:rFonts w:ascii="Times New Roman" w:eastAsia="Calibri" w:hAnsi="Times New Roman" w:cs="Times New Roman"/>
          <w:noProof/>
          <w:sz w:val="24"/>
          <w:szCs w:val="24"/>
        </w:rPr>
        <w:t>ia, Brazil, China, Japan, Russia, South Korea, Ukraine, US, China). The ERAWIDE activity enlisted the participation with the European Neighbourhood countries, a central component of EU foreign policy. The thematic priorities of H2020 can already be identif</w:t>
      </w:r>
      <w:r>
        <w:rPr>
          <w:rFonts w:ascii="Times New Roman" w:eastAsia="Calibri" w:hAnsi="Times New Roman" w:cs="Times New Roman"/>
          <w:noProof/>
          <w:sz w:val="24"/>
          <w:szCs w:val="24"/>
        </w:rPr>
        <w:t>ied in ERAWIDE projects (food, agriculture, water, biotechnology, biodiversity, marine environment).</w:t>
      </w:r>
    </w:p>
    <w:p w:rsidR="00E535A0" w:rsidRDefault="00C953F5">
      <w:pPr>
        <w:autoSpaceDE w:val="0"/>
        <w:autoSpaceDN w:val="0"/>
        <w:adjustRightInd w:val="0"/>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Some structural impacts took place as a result of INCO activities, including those in synergy with external funding instruments such as ENPI.  For example, the building of institutional capacity to manage international research cooperation thanks to traini</w:t>
      </w:r>
      <w:r>
        <w:rPr>
          <w:rFonts w:ascii="Times New Roman" w:eastAsia="Calibri" w:hAnsi="Times New Roman" w:cs="Times New Roman"/>
          <w:noProof/>
          <w:sz w:val="24"/>
          <w:szCs w:val="24"/>
          <w:lang w:val="en-US"/>
        </w:rPr>
        <w:t xml:space="preserve">ng and networking activities, the further diffusion of peer review and competitive calls due to exposure to the FP Calls and related evaluation. </w:t>
      </w:r>
    </w:p>
    <w:p w:rsidR="00E535A0" w:rsidRDefault="00E535A0">
      <w:pPr>
        <w:autoSpaceDE w:val="0"/>
        <w:autoSpaceDN w:val="0"/>
        <w:adjustRightInd w:val="0"/>
        <w:spacing w:after="0" w:line="240" w:lineRule="auto"/>
        <w:jc w:val="both"/>
        <w:rPr>
          <w:rFonts w:ascii="Times New Roman" w:hAnsi="Times New Roman" w:cs="Times New Roman"/>
          <w:noProof/>
          <w:sz w:val="24"/>
          <w:szCs w:val="24"/>
          <w:lang w:val="en-US"/>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the results of INCO contribute to the achievements of the new Commission's priorities?</w:t>
      </w: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INC</w:t>
      </w:r>
      <w:r>
        <w:rPr>
          <w:rFonts w:ascii="Times New Roman" w:eastAsia="Calibri" w:hAnsi="Times New Roman" w:cs="Times New Roman"/>
          <w:noProof/>
          <w:sz w:val="24"/>
          <w:szCs w:val="24"/>
          <w:lang w:val="en-US"/>
        </w:rPr>
        <w:t>O work programmes encouraged coordination with a broad range of community instruments, including these with a defined geographical focus: the Instrument for Pre-accession Assistance (IP), the European Neighbourhood and Partnership Instrument (ENPI), the De</w:t>
      </w:r>
      <w:r>
        <w:rPr>
          <w:rFonts w:ascii="Times New Roman" w:eastAsia="Calibri" w:hAnsi="Times New Roman" w:cs="Times New Roman"/>
          <w:noProof/>
          <w:sz w:val="24"/>
          <w:szCs w:val="24"/>
          <w:lang w:val="en-US"/>
        </w:rPr>
        <w:t>velopment Cooperation and Economic Cooperation Instrument (DCECI), the Instrument for cooperation with industrialised and other high-income countries and territories (ICI), Asia and Latin America (ALA), the European Regional Development Fund (ERDF), and th</w:t>
      </w:r>
      <w:r>
        <w:rPr>
          <w:rFonts w:ascii="Times New Roman" w:eastAsia="Calibri" w:hAnsi="Times New Roman" w:cs="Times New Roman"/>
          <w:noProof/>
          <w:sz w:val="24"/>
          <w:szCs w:val="24"/>
          <w:lang w:val="en-US"/>
        </w:rPr>
        <w:t xml:space="preserve">e European Development Fund (EDF). INCO calls also emphasized instruments in the areas of science, technology and innovation. </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Some DEVCO instruments are already linked with research, but only for very specific actions such as food security. However, the </w:t>
      </w:r>
      <w:r>
        <w:rPr>
          <w:rFonts w:ascii="Times New Roman" w:eastAsia="Calibri" w:hAnsi="Times New Roman" w:cs="Times New Roman"/>
          <w:noProof/>
          <w:sz w:val="24"/>
          <w:szCs w:val="24"/>
          <w:lang w:val="en-US"/>
        </w:rPr>
        <w:t>link between capacity building and research is now stronger and it is an essential link for developing countries. Capacity building is where the coordination with DEVCO is more visible, one example being the synergy between INCO, DEVCO and DG-CONNECT in Ar</w:t>
      </w:r>
      <w:r>
        <w:rPr>
          <w:rFonts w:ascii="Times New Roman" w:eastAsia="Calibri" w:hAnsi="Times New Roman" w:cs="Times New Roman"/>
          <w:noProof/>
          <w:sz w:val="24"/>
          <w:szCs w:val="24"/>
          <w:lang w:val="en-US"/>
        </w:rPr>
        <w:t xml:space="preserve">menia. In this case, an ERA-WIDE project (INARMERA-ICT) and FP7 PICTURE (DG-CONNECT) projects joined forces in order to tackle the challenges of international cooperation in the field of Components, Computing Systems and Networks, supported by the Eastern </w:t>
      </w:r>
      <w:r>
        <w:rPr>
          <w:rFonts w:ascii="Times New Roman" w:eastAsia="Calibri" w:hAnsi="Times New Roman" w:cs="Times New Roman"/>
          <w:noProof/>
          <w:sz w:val="24"/>
          <w:szCs w:val="24"/>
          <w:lang w:val="en-US"/>
        </w:rPr>
        <w:t xml:space="preserve">Partnership (EaP) Platform IV and the multilateral part of the European Neighbourhood Policy Instrument (ENPI) in partnership with DEVCO. </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challenge of coordination with other policy instruments is illustrated by the often limited progress in taking t</w:t>
      </w:r>
      <w:r>
        <w:rPr>
          <w:rFonts w:ascii="Times New Roman" w:eastAsia="Calibri" w:hAnsi="Times New Roman" w:cs="Times New Roman"/>
          <w:noProof/>
          <w:sz w:val="24"/>
          <w:szCs w:val="24"/>
          <w:lang w:val="en-US"/>
        </w:rPr>
        <w:t>he outcomes of priority-setting exercises forward, and there was some difficulty in utilizing the results of the priority-setting exercises. In many of the early INCONETS, it was assumed that the results could be passed on to the European Commission DG RTD</w:t>
      </w:r>
      <w:r>
        <w:rPr>
          <w:rFonts w:ascii="Times New Roman" w:eastAsia="Calibri" w:hAnsi="Times New Roman" w:cs="Times New Roman"/>
          <w:noProof/>
          <w:sz w:val="24"/>
          <w:szCs w:val="24"/>
          <w:lang w:val="en-US"/>
        </w:rPr>
        <w:t xml:space="preserve"> thematic directorates to be used in the preparation of Specific International Cooperation Activities (SICA) calls based on such priorities. However, many projects reported difficulties in influencing the Framework Programme or in engaging with national wo</w:t>
      </w:r>
      <w:r>
        <w:rPr>
          <w:rFonts w:ascii="Times New Roman" w:eastAsia="Calibri" w:hAnsi="Times New Roman" w:cs="Times New Roman"/>
          <w:noProof/>
          <w:sz w:val="24"/>
          <w:szCs w:val="24"/>
          <w:lang w:val="en-US"/>
        </w:rPr>
        <w:t>rk programmes.</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Furthermore, INCO has proven consistency with EU foreign policy objectives</w:t>
      </w:r>
      <w:r>
        <w:rPr>
          <w:rFonts w:ascii="Times New Roman" w:hAnsi="Times New Roman" w:cs="Times New Roman"/>
          <w:noProof/>
          <w:sz w:val="24"/>
          <w:szCs w:val="24"/>
        </w:rPr>
        <w:t xml:space="preserve">. </w:t>
      </w: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International cooperation is both an objective of EU foreign policy and an instrument of that policy. The contribution of EU external policies, and particularly th</w:t>
      </w:r>
      <w:r>
        <w:rPr>
          <w:rFonts w:ascii="Times New Roman" w:eastAsia="Calibri" w:hAnsi="Times New Roman" w:cs="Times New Roman"/>
          <w:noProof/>
          <w:sz w:val="24"/>
          <w:szCs w:val="24"/>
          <w:lang w:val="en-US"/>
        </w:rPr>
        <w:t>e external dimension of internal R&amp;D policy, is central to the delivery of the Europe 2020 Strategy. The research cooperation fostered through the INCO programme has created links with the countries and regions that are also targets of the broader EU forei</w:t>
      </w:r>
      <w:r>
        <w:rPr>
          <w:rFonts w:ascii="Times New Roman" w:eastAsia="Calibri" w:hAnsi="Times New Roman" w:cs="Times New Roman"/>
          <w:noProof/>
          <w:sz w:val="24"/>
          <w:szCs w:val="24"/>
          <w:lang w:val="en-US"/>
        </w:rPr>
        <w:t xml:space="preserve">gn policy, and the geographic scope of the </w:t>
      </w: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INCO activities reflects in many ways the global scope of EU foreign policy. </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Eighty nine third countries participated in the INCO programme</w:t>
      </w:r>
      <w:hyperlink w:anchor="Annex_11a" w:tooltip="Click here to access Annex 11" w:history="1">
        <w:r>
          <w:rPr>
            <w:rFonts w:ascii="Times New Roman" w:eastAsia="Calibri" w:hAnsi="Times New Roman" w:cs="Times New Roman"/>
            <w:noProof/>
            <w:sz w:val="24"/>
            <w:szCs w:val="24"/>
            <w:u w:val="single"/>
            <w:lang w:val="en-US"/>
          </w:rPr>
          <w:t>,</w:t>
        </w:r>
      </w:hyperlink>
      <w:r>
        <w:rPr>
          <w:rFonts w:ascii="Times New Roman" w:eastAsia="Calibri" w:hAnsi="Times New Roman" w:cs="Times New Roman"/>
          <w:noProof/>
          <w:sz w:val="24"/>
          <w:szCs w:val="24"/>
          <w:lang w:val="en-US"/>
        </w:rPr>
        <w:t xml:space="preserve"> and 39 MS/AC participants. However, there was a concentration in the participation by the MS/AC countries, with France, Germany, Italy, Spain, Greece and Austria having the highest number of projects.  Among the participant third countries, there was an E</w:t>
      </w:r>
      <w:r>
        <w:rPr>
          <w:rFonts w:ascii="Times New Roman" w:eastAsia="Calibri" w:hAnsi="Times New Roman" w:cs="Times New Roman"/>
          <w:noProof/>
          <w:sz w:val="24"/>
          <w:szCs w:val="24"/>
          <w:lang w:val="en-US"/>
        </w:rPr>
        <w:t>NP concentration, with Egypt, Tunisia, Ukraine, Jordan, Morocco, Armenia, and Georgia with the highest number of projects. The top twenty (third country) participants included Brazil, China, India, Japan, Mexico, Russia and South Africa– seven countries wi</w:t>
      </w:r>
      <w:r>
        <w:rPr>
          <w:rFonts w:ascii="Times New Roman" w:eastAsia="Calibri" w:hAnsi="Times New Roman" w:cs="Times New Roman"/>
          <w:noProof/>
          <w:sz w:val="24"/>
          <w:szCs w:val="24"/>
          <w:lang w:val="en-US"/>
        </w:rPr>
        <w:t>th which the EU has already concluded strategic partnership agreements.</w:t>
      </w:r>
      <w:r>
        <w:rPr>
          <w:rFonts w:ascii="Times New Roman" w:eastAsia="Calibri" w:hAnsi="Times New Roman" w:cs="Times New Roman"/>
          <w:noProof/>
          <w:sz w:val="24"/>
          <w:szCs w:val="24"/>
          <w:vertAlign w:val="superscript"/>
          <w:lang w:val="en-US"/>
        </w:rPr>
        <w:footnoteReference w:id="40"/>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INCONET activities support the inter-regional dimension of EU foreign policy. PACE-Net was one of the INCONET projects that specifically addressed foreign policy objectives, with</w:t>
      </w:r>
      <w:r>
        <w:rPr>
          <w:rFonts w:ascii="Times New Roman" w:eastAsia="Calibri" w:hAnsi="Times New Roman" w:cs="Times New Roman"/>
          <w:noProof/>
          <w:sz w:val="24"/>
          <w:szCs w:val="24"/>
          <w:lang w:val="en-US"/>
        </w:rPr>
        <w:t xml:space="preserve"> a work package linking S&amp;T policy to Pacific development goals and the preparation of a set of recommendations on the potential contribution of R&amp;D to regional development. The CAAST-Net Plus project included a workpackage dedicated to ‘Research, technolo</w:t>
      </w:r>
      <w:r>
        <w:rPr>
          <w:rFonts w:ascii="Times New Roman" w:eastAsia="Calibri" w:hAnsi="Times New Roman" w:cs="Times New Roman"/>
          <w:noProof/>
          <w:sz w:val="24"/>
          <w:szCs w:val="24"/>
          <w:lang w:val="en-US"/>
        </w:rPr>
        <w:t>gy transfer and innovation to enhance food security’, one of the three strategic priorities of the EC’s Food Security Thematic Programme. The activity will operate within the context of the Joint Africa-EU Strategy (JAES) and will respond to the objectives</w:t>
      </w:r>
      <w:r>
        <w:rPr>
          <w:rFonts w:ascii="Times New Roman" w:eastAsia="Calibri" w:hAnsi="Times New Roman" w:cs="Times New Roman"/>
          <w:noProof/>
          <w:sz w:val="24"/>
          <w:szCs w:val="24"/>
          <w:lang w:val="en-US"/>
        </w:rPr>
        <w:t xml:space="preserve"> of the Comprehensive Africa Agriculture Development Programme (CAADP) of the New Partnership for Africa’s Development (NEPAD). The SEA-EU-Net project organized a conference linking the R&amp;D to development, with the objective of identifying how poverty coul</w:t>
      </w:r>
      <w:r>
        <w:rPr>
          <w:rFonts w:ascii="Times New Roman" w:eastAsia="Calibri" w:hAnsi="Times New Roman" w:cs="Times New Roman"/>
          <w:noProof/>
          <w:sz w:val="24"/>
          <w:szCs w:val="24"/>
          <w:lang w:val="en-US"/>
        </w:rPr>
        <w:t>d be alleviated so as to improve the social and economic life of the poorest countries in Southeast Asia.</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There are a number of global issues such as cyber security, climate and environmental change, health security (including epidemics), and poverty redu</w:t>
      </w:r>
      <w:r>
        <w:rPr>
          <w:rFonts w:ascii="Times New Roman" w:eastAsia="Calibri" w:hAnsi="Times New Roman" w:cs="Times New Roman"/>
          <w:noProof/>
          <w:sz w:val="24"/>
          <w:szCs w:val="24"/>
          <w:lang w:val="en-US"/>
        </w:rPr>
        <w:t>ction where the EU can contribute to global debates and provide an input to global governance.  European research programmes can provide an input to these debates in the specific research outputs, by taking a more strategic approach to policy dialogue, ide</w:t>
      </w:r>
      <w:r>
        <w:rPr>
          <w:rFonts w:ascii="Times New Roman" w:eastAsia="Calibri" w:hAnsi="Times New Roman" w:cs="Times New Roman"/>
          <w:noProof/>
          <w:sz w:val="24"/>
          <w:szCs w:val="24"/>
          <w:lang w:val="en-US"/>
        </w:rPr>
        <w:t>ntifying dialogue pathways and key actors in the individual global policy arenas. In this context, the EU is already engaged in various global governance processes (in trade, environment, development) and can leverage its policy expertise in the respective</w:t>
      </w:r>
      <w:r>
        <w:rPr>
          <w:rFonts w:ascii="Times New Roman" w:eastAsia="Calibri" w:hAnsi="Times New Roman" w:cs="Times New Roman"/>
          <w:noProof/>
          <w:sz w:val="24"/>
          <w:szCs w:val="24"/>
          <w:lang w:val="en-US"/>
        </w:rPr>
        <w:t xml:space="preserve"> areas through the EU delegations around the world so as to influence the direction of debate and policy-making in line with EU interests and with established norms and principles. </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Coordination across the activities of different Commission Directorate Ge</w:t>
      </w:r>
      <w:r>
        <w:rPr>
          <w:rFonts w:ascii="Times New Roman" w:eastAsia="Calibri" w:hAnsi="Times New Roman" w:cs="Times New Roman"/>
          <w:noProof/>
          <w:sz w:val="24"/>
          <w:szCs w:val="24"/>
          <w:lang w:val="en-US"/>
        </w:rPr>
        <w:t>nerals (development, external relations and research) was evident particularly in the latter stage of the INCO programme management. The global opening of the H2020 programme highlights more than ever the need for enhanced coordination, adding to the admin</w:t>
      </w:r>
      <w:r>
        <w:rPr>
          <w:rFonts w:ascii="Times New Roman" w:eastAsia="Calibri" w:hAnsi="Times New Roman" w:cs="Times New Roman"/>
          <w:noProof/>
          <w:sz w:val="24"/>
          <w:szCs w:val="24"/>
          <w:lang w:val="en-US"/>
        </w:rPr>
        <w:t>istrative and managerial responsibilities of the Commission DGs. While the European External Action Service (EEAS) is now in place to run the 141 EU delegations around the world, with a number of delegation staff on secondment from DG Research (and other ‘</w:t>
      </w:r>
      <w:r>
        <w:rPr>
          <w:rFonts w:ascii="Times New Roman" w:eastAsia="Calibri" w:hAnsi="Times New Roman" w:cs="Times New Roman"/>
          <w:noProof/>
          <w:sz w:val="24"/>
          <w:szCs w:val="24"/>
          <w:lang w:val="en-US"/>
        </w:rPr>
        <w:t>home’ DGs), the potential for coordination between research and foreign policy exists. However, the top-level division of authority between the different areas of the European Commission in the internationalizing of research policy remains unclear, and thi</w:t>
      </w:r>
      <w:r>
        <w:rPr>
          <w:rFonts w:ascii="Times New Roman" w:eastAsia="Calibri" w:hAnsi="Times New Roman" w:cs="Times New Roman"/>
          <w:noProof/>
          <w:sz w:val="24"/>
          <w:szCs w:val="24"/>
          <w:lang w:val="en-US"/>
        </w:rPr>
        <w:t xml:space="preserve">s can ultimately compromise the coordination of policies and strategic priorities. </w:t>
      </w:r>
    </w:p>
    <w:p w:rsidR="00E535A0" w:rsidRDefault="00E535A0">
      <w:pPr>
        <w:spacing w:after="0" w:line="240" w:lineRule="auto"/>
        <w:jc w:val="both"/>
        <w:rPr>
          <w:rFonts w:ascii="Times New Roman" w:eastAsia="Calibri" w:hAnsi="Times New Roman" w:cs="Times New Roman"/>
          <w:noProof/>
          <w:sz w:val="24"/>
          <w:szCs w:val="24"/>
          <w:lang w:val="en-US"/>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figure provides and overview of EU added value of international cooperation under FP7:</w:t>
      </w:r>
    </w:p>
    <w:p w:rsidR="00E535A0" w:rsidRDefault="00C953F5">
      <w:pPr>
        <w:spacing w:after="0" w:line="240" w:lineRule="auto"/>
        <w:jc w:val="both"/>
        <w:rPr>
          <w:rFonts w:ascii="Times New Roman" w:eastAsia="Calibri" w:hAnsi="Times New Roman" w:cs="Times New Roman"/>
          <w:noProof/>
          <w:sz w:val="24"/>
          <w:szCs w:val="24"/>
          <w:lang w:val="en-US"/>
        </w:rPr>
      </w:pPr>
      <w:r>
        <w:rPr>
          <w:rFonts w:ascii="Times New Roman" w:hAnsi="Times New Roman" w:cs="Times New Roman"/>
          <w:b/>
          <w:noProof/>
          <w:sz w:val="24"/>
          <w:szCs w:val="24"/>
          <w:lang w:val="de-DE" w:eastAsia="de-DE"/>
        </w:rPr>
        <w:drawing>
          <wp:inline distT="0" distB="0" distL="0" distR="0" wp14:anchorId="2F59C7C8" wp14:editId="225209F1">
            <wp:extent cx="5760720" cy="3707130"/>
            <wp:effectExtent l="0" t="0" r="0" b="7620"/>
            <wp:docPr id="1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707130"/>
                    </a:xfrm>
                    <a:prstGeom prst="rect">
                      <a:avLst/>
                    </a:prstGeom>
                    <a:noFill/>
                    <a:ln>
                      <a:noFill/>
                    </a:ln>
                  </pic:spPr>
                </pic:pic>
              </a:graphicData>
            </a:graphic>
          </wp:inline>
        </w:drawing>
      </w:r>
    </w:p>
    <w:p w:rsidR="00E535A0" w:rsidRDefault="00C953F5">
      <w:pPr>
        <w:spacing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br w:type="page"/>
      </w:r>
    </w:p>
    <w:p w:rsidR="00E535A0" w:rsidRDefault="00C953F5">
      <w:pPr>
        <w:spacing w:line="240" w:lineRule="auto"/>
        <w:jc w:val="both"/>
        <w:rPr>
          <w:rFonts w:ascii="Times New Roman" w:eastAsiaTheme="majorEastAsia" w:hAnsi="Times New Roman" w:cs="Times New Roman"/>
          <w:b/>
          <w:noProof/>
          <w:sz w:val="24"/>
          <w:szCs w:val="24"/>
        </w:rPr>
      </w:pPr>
      <w:r>
        <w:rPr>
          <w:rFonts w:ascii="Times New Roman" w:hAnsi="Times New Roman" w:cs="Times New Roman"/>
          <w:b/>
          <w:noProof/>
          <w:sz w:val="24"/>
          <w:szCs w:val="24"/>
        </w:rPr>
        <w:t>13.8. Risk-Sharing Finance Facility (RSFF)</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Looking at the operational and intermediate objectives, the RSFF and RSSI have reached and easily exceeded almost all their operational and intermediate objectives.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findings of the first RSFF interim evaluation</w:t>
      </w:r>
      <w:r>
        <w:rPr>
          <w:rFonts w:ascii="Times New Roman" w:eastAsia="Calibri" w:hAnsi="Times New Roman" w:cs="Times New Roman"/>
          <w:noProof/>
          <w:sz w:val="24"/>
          <w:szCs w:val="24"/>
          <w:vertAlign w:val="superscript"/>
        </w:rPr>
        <w:footnoteReference w:id="41"/>
      </w:r>
      <w:r>
        <w:rPr>
          <w:rFonts w:ascii="Times New Roman" w:eastAsia="Calibri" w:hAnsi="Times New Roman" w:cs="Times New Roman"/>
          <w:noProof/>
          <w:sz w:val="24"/>
          <w:szCs w:val="24"/>
        </w:rPr>
        <w:t>, conducted in 2010 by a group of independent experts, were largely positive. The experts concluded that the RSFF had been successfully introduced into the EU’s research funding scheme within FP7, was a model example of an EU financial instrument, and shou</w:t>
      </w:r>
      <w:r>
        <w:rPr>
          <w:rFonts w:ascii="Times New Roman" w:eastAsia="Calibri" w:hAnsi="Times New Roman" w:cs="Times New Roman"/>
          <w:noProof/>
          <w:sz w:val="24"/>
          <w:szCs w:val="24"/>
        </w:rPr>
        <w:t xml:space="preserve">ld be further developed and strengthened. The experts felt that some target groups, however (SMEs, research infrastructures) needed more focused support. </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Subsequent amendments to the contract between the EU and the EIB changed the risk-sharing mechanism f</w:t>
      </w:r>
      <w:r>
        <w:rPr>
          <w:rFonts w:ascii="Times New Roman" w:eastAsia="Calibri" w:hAnsi="Times New Roman" w:cs="Times New Roman"/>
          <w:noProof/>
          <w:sz w:val="24"/>
          <w:szCs w:val="24"/>
        </w:rPr>
        <w:t>rom a project-by-project to a portfolio first-loss-piece (PFLP)</w:t>
      </w:r>
      <w:r>
        <w:rPr>
          <w:rFonts w:ascii="Times New Roman" w:eastAsia="Calibri" w:hAnsi="Times New Roman" w:cs="Times New Roman"/>
          <w:noProof/>
          <w:sz w:val="24"/>
          <w:szCs w:val="24"/>
          <w:vertAlign w:val="superscript"/>
        </w:rPr>
        <w:footnoteReference w:id="42"/>
      </w:r>
      <w:r>
        <w:rPr>
          <w:rFonts w:ascii="Times New Roman" w:eastAsia="Calibri" w:hAnsi="Times New Roman" w:cs="Times New Roman"/>
          <w:noProof/>
          <w:sz w:val="24"/>
          <w:szCs w:val="24"/>
        </w:rPr>
        <w:t xml:space="preserve"> approach, with the EU assuming a higher risk. It was judged that this would optimise the leverage effect of EU funds and enhance the EIB's capacity to finance loans, especially to SMEs and re</w:t>
      </w:r>
      <w:r>
        <w:rPr>
          <w:rFonts w:ascii="Times New Roman" w:eastAsia="Calibri" w:hAnsi="Times New Roman" w:cs="Times New Roman"/>
          <w:noProof/>
          <w:sz w:val="24"/>
          <w:szCs w:val="24"/>
        </w:rPr>
        <w:t xml:space="preserve">search infrastructures. Three compartments were created: primarily corporate finance and project finance transactions; the RSI (see above), an SME and small midcaps guarantee facility run by the EIF; and research infrastructures. Changes were also made to </w:t>
      </w:r>
      <w:r>
        <w:rPr>
          <w:rFonts w:ascii="Times New Roman" w:eastAsia="Calibri" w:hAnsi="Times New Roman" w:cs="Times New Roman"/>
          <w:noProof/>
          <w:sz w:val="24"/>
          <w:szCs w:val="24"/>
        </w:rPr>
        <w:t>facilitate lending to universities and public research institutions, and also loans to medium and large midcaps. In addition, a counter-guarantee mechanism for the RSI was also introduced.</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findings of the second interim evaluation of the RSFF</w:t>
      </w:r>
      <w:r>
        <w:rPr>
          <w:rFonts w:ascii="Times New Roman" w:eastAsia="Calibri" w:hAnsi="Times New Roman" w:cs="Times New Roman"/>
          <w:noProof/>
          <w:sz w:val="24"/>
          <w:szCs w:val="24"/>
          <w:vertAlign w:val="superscript"/>
        </w:rPr>
        <w:footnoteReference w:id="43"/>
      </w:r>
      <w:r>
        <w:rPr>
          <w:rFonts w:ascii="Times New Roman" w:eastAsia="Calibri" w:hAnsi="Times New Roman" w:cs="Times New Roman"/>
          <w:noProof/>
          <w:sz w:val="24"/>
          <w:szCs w:val="24"/>
        </w:rPr>
        <w:t>, conduct</w:t>
      </w:r>
      <w:r>
        <w:rPr>
          <w:rFonts w:ascii="Times New Roman" w:eastAsia="Calibri" w:hAnsi="Times New Roman" w:cs="Times New Roman"/>
          <w:noProof/>
          <w:sz w:val="24"/>
          <w:szCs w:val="24"/>
        </w:rPr>
        <w:t>ed in 2013 by a further group of independent experts, were also largely positive. The experts concluded that the RSFF had proved to be attractive to RDI companies and had met or exceeded its loan volume targets, improved its geographic coverage, and enable</w:t>
      </w:r>
      <w:r>
        <w:rPr>
          <w:rFonts w:ascii="Times New Roman" w:eastAsia="Calibri" w:hAnsi="Times New Roman" w:cs="Times New Roman"/>
          <w:noProof/>
          <w:sz w:val="24"/>
          <w:szCs w:val="24"/>
        </w:rPr>
        <w:t xml:space="preserve">d EIB to increase the bank's capacity to make riskier loans. </w:t>
      </w:r>
    </w:p>
    <w:p w:rsidR="00E535A0" w:rsidRDefault="00C953F5">
      <w:pPr>
        <w:spacing w:line="240" w:lineRule="auto"/>
        <w:jc w:val="both"/>
        <w:rPr>
          <w:rFonts w:ascii="Times New Roman" w:eastAsia="Calibri" w:hAnsi="Times New Roman" w:cs="Times New Roman"/>
          <w:iCs/>
          <w:noProof/>
          <w:sz w:val="24"/>
          <w:szCs w:val="24"/>
        </w:rPr>
      </w:pPr>
      <w:r>
        <w:rPr>
          <w:rFonts w:ascii="Times New Roman" w:eastAsia="Calibri" w:hAnsi="Times New Roman" w:cs="Times New Roman"/>
          <w:iCs/>
          <w:noProof/>
          <w:sz w:val="24"/>
          <w:szCs w:val="24"/>
        </w:rPr>
        <w:t>By the end of 2013, 127 RSFF operations had been approved by the EIB, with a total loan volume of €16.2 billion, and the Bank had signed loan agreements with 114 R&amp;I promoters, with a total loan</w:t>
      </w:r>
      <w:r>
        <w:rPr>
          <w:rFonts w:ascii="Times New Roman" w:eastAsia="Calibri" w:hAnsi="Times New Roman" w:cs="Times New Roman"/>
          <w:iCs/>
          <w:noProof/>
          <w:sz w:val="24"/>
          <w:szCs w:val="24"/>
        </w:rPr>
        <w:t xml:space="preserve"> volume (active loans) of €11.31 billion. The sector diversification was broad, and the instrument had been implemented in 25 countries.</w:t>
      </w:r>
    </w:p>
    <w:p w:rsidR="00E535A0" w:rsidRDefault="00C953F5">
      <w:pPr>
        <w:spacing w:line="240" w:lineRule="auto"/>
        <w:jc w:val="both"/>
        <w:rPr>
          <w:rFonts w:ascii="Times New Roman" w:eastAsia="Calibri" w:hAnsi="Times New Roman" w:cs="Times New Roman"/>
          <w:b/>
          <w:iCs/>
          <w:noProof/>
          <w:sz w:val="24"/>
          <w:szCs w:val="24"/>
        </w:rPr>
      </w:pPr>
      <w:r>
        <w:rPr>
          <w:rFonts w:ascii="Times New Roman" w:eastAsia="Calibri" w:hAnsi="Times New Roman" w:cs="Times New Roman"/>
          <w:b/>
          <w:iCs/>
          <w:noProof/>
          <w:sz w:val="24"/>
          <w:szCs w:val="24"/>
        </w:rPr>
        <w:br w:type="page"/>
      </w:r>
    </w:p>
    <w:p w:rsidR="00E535A0" w:rsidRDefault="00C953F5">
      <w:pPr>
        <w:spacing w:line="240" w:lineRule="auto"/>
        <w:jc w:val="both"/>
        <w:rPr>
          <w:rFonts w:ascii="Times New Roman" w:eastAsia="Calibri" w:hAnsi="Times New Roman" w:cs="Times New Roman"/>
          <w:iCs/>
          <w:noProof/>
          <w:szCs w:val="24"/>
        </w:rPr>
      </w:pPr>
      <w:r>
        <w:rPr>
          <w:rFonts w:ascii="Times New Roman" w:eastAsia="Calibri" w:hAnsi="Times New Roman" w:cs="Times New Roman"/>
          <w:b/>
          <w:iCs/>
          <w:noProof/>
          <w:szCs w:val="24"/>
        </w:rPr>
        <w:t>Figure 2: RSFF signatures by country as of 31 December 2013</w:t>
      </w:r>
    </w:p>
    <w:p w:rsidR="00E535A0" w:rsidRDefault="00C953F5">
      <w:pPr>
        <w:spacing w:line="240" w:lineRule="auto"/>
        <w:jc w:val="both"/>
        <w:rPr>
          <w:rFonts w:ascii="Times New Roman" w:eastAsia="Calibri" w:hAnsi="Times New Roman" w:cs="Times New Roman"/>
          <w:iCs/>
          <w:noProof/>
          <w:sz w:val="24"/>
          <w:szCs w:val="24"/>
        </w:rPr>
      </w:pPr>
      <w:r>
        <w:rPr>
          <w:rFonts w:ascii="Times New Roman" w:eastAsia="Calibri" w:hAnsi="Times New Roman" w:cs="Times New Roman"/>
          <w:iCs/>
          <w:noProof/>
          <w:sz w:val="24"/>
          <w:szCs w:val="24"/>
        </w:rPr>
        <w:object w:dxaOrig="8100" w:dyaOrig="11430">
          <v:shape id="_x0000_i1026" type="#_x0000_t75" style="width:405.55pt;height:572.35pt" o:ole="">
            <v:imagedata r:id="rId68" o:title=""/>
          </v:shape>
          <o:OLEObject Type="Embed" ProgID="PBrush" ShapeID="_x0000_i1026" DrawAspect="Content" ObjectID="_1514983149" r:id="rId69"/>
        </w:object>
      </w:r>
    </w:p>
    <w:p w:rsidR="00E535A0" w:rsidRDefault="00C953F5">
      <w:pPr>
        <w:spacing w:line="240" w:lineRule="auto"/>
        <w:jc w:val="both"/>
        <w:rPr>
          <w:rFonts w:ascii="Times New Roman" w:eastAsia="Calibri" w:hAnsi="Times New Roman" w:cs="Times New Roman"/>
          <w:iCs/>
          <w:noProof/>
          <w:sz w:val="24"/>
          <w:szCs w:val="24"/>
        </w:rPr>
      </w:pPr>
      <w:r>
        <w:rPr>
          <w:rFonts w:ascii="Times New Roman" w:eastAsia="Calibri" w:hAnsi="Times New Roman" w:cs="Times New Roman"/>
          <w:iCs/>
          <w:noProof/>
          <w:sz w:val="24"/>
          <w:szCs w:val="24"/>
        </w:rPr>
        <w:t xml:space="preserve">EU-15 countries accounted for the </w:t>
      </w:r>
      <w:r>
        <w:rPr>
          <w:rFonts w:ascii="Times New Roman" w:eastAsia="Calibri" w:hAnsi="Times New Roman" w:cs="Times New Roman"/>
          <w:iCs/>
          <w:noProof/>
          <w:sz w:val="24"/>
          <w:szCs w:val="24"/>
        </w:rPr>
        <w:t>large majority of operations. While RSFF operations have been concentrated in Germany, France, Italy, Spain, Sweden and the UK, EIB has met its geographical deconcentration target, linked to a fee-based financial incentive, of ensuring that the RSFF portfo</w:t>
      </w:r>
      <w:r>
        <w:rPr>
          <w:rFonts w:ascii="Times New Roman" w:eastAsia="Calibri" w:hAnsi="Times New Roman" w:cs="Times New Roman"/>
          <w:iCs/>
          <w:noProof/>
          <w:sz w:val="24"/>
          <w:szCs w:val="24"/>
        </w:rPr>
        <w:t>lio does not have more than 60% of its signed operations in the three Member States with the largest share of RSFF operations by volume. The relative scarcity of operations in Central and Eastern Europe appears to derive from the region's still comparative</w:t>
      </w:r>
      <w:r>
        <w:rPr>
          <w:rFonts w:ascii="Times New Roman" w:eastAsia="Calibri" w:hAnsi="Times New Roman" w:cs="Times New Roman"/>
          <w:iCs/>
          <w:noProof/>
          <w:sz w:val="24"/>
          <w:szCs w:val="24"/>
        </w:rPr>
        <w:t>ly thin technological base and infrastructure, together with a comparative underdevelopment of its financial sector and a lack of measures to foster access to risk finance.</w:t>
      </w:r>
    </w:p>
    <w:p w:rsidR="00E535A0" w:rsidRDefault="00C953F5">
      <w:pPr>
        <w:spacing w:line="240" w:lineRule="auto"/>
        <w:jc w:val="both"/>
        <w:rPr>
          <w:rFonts w:ascii="Times New Roman" w:eastAsia="Calibri" w:hAnsi="Times New Roman" w:cs="Times New Roman"/>
          <w:iCs/>
          <w:noProof/>
          <w:szCs w:val="24"/>
        </w:rPr>
      </w:pPr>
      <w:r>
        <w:rPr>
          <w:rFonts w:ascii="Times New Roman" w:eastAsia="Calibri" w:hAnsi="Times New Roman" w:cs="Times New Roman"/>
          <w:b/>
          <w:noProof/>
          <w:szCs w:val="24"/>
        </w:rPr>
        <w:t>Figure 3: RSFF disbursement by country as of 31 December 2013</w:t>
      </w:r>
    </w:p>
    <w:p w:rsidR="00E535A0" w:rsidRDefault="00C953F5">
      <w:pPr>
        <w:spacing w:line="240" w:lineRule="auto"/>
        <w:jc w:val="both"/>
        <w:rPr>
          <w:rFonts w:ascii="Times New Roman" w:eastAsia="Calibri" w:hAnsi="Times New Roman" w:cs="Times New Roman"/>
          <w:b/>
          <w:bCs/>
          <w:noProof/>
          <w:szCs w:val="24"/>
        </w:rPr>
      </w:pPr>
      <w:r>
        <w:rPr>
          <w:rFonts w:ascii="Times New Roman" w:eastAsia="Calibri" w:hAnsi="Times New Roman" w:cs="Times New Roman"/>
          <w:noProof/>
          <w:sz w:val="24"/>
          <w:szCs w:val="24"/>
        </w:rPr>
        <w:object w:dxaOrig="7890" w:dyaOrig="3870">
          <v:shape id="_x0000_i1027" type="#_x0000_t75" style="width:396.45pt;height:194.15pt" o:ole="">
            <v:imagedata r:id="rId70" o:title=""/>
          </v:shape>
          <o:OLEObject Type="Embed" ProgID="PBrush" ShapeID="_x0000_i1027" DrawAspect="Content" ObjectID="_1514983150" r:id="rId71"/>
        </w:object>
      </w:r>
      <w:r>
        <w:rPr>
          <w:rFonts w:ascii="Times New Roman" w:eastAsia="Calibri" w:hAnsi="Times New Roman" w:cs="Times New Roman"/>
          <w:b/>
          <w:bCs/>
          <w:noProof/>
          <w:szCs w:val="24"/>
        </w:rPr>
        <w:t>Figure 4: RSFF operations approved and signed by the EIB since launch of RSFF</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object w:dxaOrig="7935" w:dyaOrig="6780">
          <v:shape id="_x0000_i1028" type="#_x0000_t75" style="width:399.2pt;height:339.05pt" o:ole="">
            <v:imagedata r:id="rId72" o:title=""/>
          </v:shape>
          <o:OLEObject Type="Embed" ProgID="PBrush" ShapeID="_x0000_i1028" DrawAspect="Content" ObjectID="_1514983151" r:id="rId73"/>
        </w:objec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By the end of 2013, the RSI had been implemented in 14 countries via 23 financial intermediaries for a total guarantee amount of €1.21 bn underpinning a total </w:t>
      </w:r>
      <w:r>
        <w:rPr>
          <w:rFonts w:ascii="Times New Roman" w:eastAsia="Calibri" w:hAnsi="Times New Roman" w:cs="Times New Roman"/>
          <w:noProof/>
          <w:sz w:val="24"/>
          <w:szCs w:val="24"/>
        </w:rPr>
        <w:t>loan volume of €2.4 bn. The number of final beneficiaries, 578, will continue to increase, under the terms of the pilot facility, until the end of 2016.</w:t>
      </w:r>
    </w:p>
    <w:p w:rsidR="00E535A0" w:rsidRDefault="00C953F5">
      <w:pPr>
        <w:keepNext/>
        <w:spacing w:line="240" w:lineRule="auto"/>
        <w:jc w:val="both"/>
        <w:rPr>
          <w:rFonts w:ascii="Times New Roman" w:eastAsia="Calibri" w:hAnsi="Times New Roman" w:cs="Times New Roman"/>
          <w:b/>
          <w:noProof/>
          <w:szCs w:val="24"/>
        </w:rPr>
      </w:pPr>
      <w:r>
        <w:rPr>
          <w:rFonts w:ascii="Times New Roman" w:eastAsia="Calibri" w:hAnsi="Times New Roman" w:cs="Times New Roman"/>
          <w:b/>
          <w:noProof/>
          <w:szCs w:val="24"/>
        </w:rPr>
        <w:t>Figure 5: RSI financial intermediaries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de-DE" w:eastAsia="de-DE"/>
        </w:rPr>
        <w:drawing>
          <wp:inline distT="0" distB="0" distL="0" distR="0" wp14:anchorId="40542490" wp14:editId="770B831F">
            <wp:extent cx="6345473" cy="47339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jhn.gif"/>
                    <pic:cNvPicPr/>
                  </pic:nvPicPr>
                  <pic:blipFill>
                    <a:blip r:embed="rId74">
                      <a:extLst>
                        <a:ext uri="{28A0092B-C50C-407E-A947-70E740481C1C}">
                          <a14:useLocalDpi xmlns:a14="http://schemas.microsoft.com/office/drawing/2010/main" val="0"/>
                        </a:ext>
                      </a:extLst>
                    </a:blip>
                    <a:stretch>
                      <a:fillRect/>
                    </a:stretch>
                  </pic:blipFill>
                  <pic:spPr>
                    <a:xfrm>
                      <a:off x="0" y="0"/>
                      <a:ext cx="6348287" cy="4736024"/>
                    </a:xfrm>
                    <a:prstGeom prst="rect">
                      <a:avLst/>
                    </a:prstGeom>
                  </pic:spPr>
                </pic:pic>
              </a:graphicData>
            </a:graphic>
          </wp:inline>
        </w:drawing>
      </w:r>
    </w:p>
    <w:p w:rsidR="00E535A0" w:rsidRDefault="00C953F5">
      <w:pPr>
        <w:spacing w:before="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Commission's "A Budget for Europe 2020" policy paper</w:t>
      </w:r>
      <w:r>
        <w:rPr>
          <w:rFonts w:ascii="Times New Roman" w:eastAsia="Calibri" w:hAnsi="Times New Roman" w:cs="Times New Roman"/>
          <w:noProof/>
          <w:sz w:val="24"/>
          <w:szCs w:val="24"/>
          <w:vertAlign w:val="superscript"/>
        </w:rPr>
        <w:footnoteReference w:id="44"/>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financial instruments are highlighted as a way of advancing the EU's key policy priorities, thanks to their leveraging of investment:</w:t>
      </w:r>
    </w:p>
    <w:p w:rsidR="00E535A0" w:rsidRDefault="00C953F5">
      <w:pPr>
        <w:spacing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By working with the private sector on innovative financial instruments it is possible to magnify the impact of the EU budg</w:t>
      </w:r>
      <w:r>
        <w:rPr>
          <w:rFonts w:ascii="Times New Roman" w:eastAsia="Calibri" w:hAnsi="Times New Roman" w:cs="Times New Roman"/>
          <w:i/>
          <w:noProof/>
          <w:sz w:val="24"/>
          <w:szCs w:val="24"/>
        </w:rPr>
        <w:t>et, enabling a greater number of strategic investments to be made, thus enhancing the EU's growth potential. Experience in working most notably with the European Investment Bank (EIB) Group, national and international financial institutions has been positi</w:t>
      </w:r>
      <w:r>
        <w:rPr>
          <w:rFonts w:ascii="Times New Roman" w:eastAsia="Calibri" w:hAnsi="Times New Roman" w:cs="Times New Roman"/>
          <w:i/>
          <w:noProof/>
          <w:sz w:val="24"/>
          <w:szCs w:val="24"/>
        </w:rPr>
        <w:t>ve and will be taken forward in the next MFF. Guarantees and risk-sharing arrangements can allow the financial sector to provide more equity and lend more money to innovative companies, or to infrastructure projects. In this way, such financial instruments</w:t>
      </w:r>
      <w:r>
        <w:rPr>
          <w:rFonts w:ascii="Times New Roman" w:eastAsia="Calibri" w:hAnsi="Times New Roman" w:cs="Times New Roman"/>
          <w:i/>
          <w:noProof/>
          <w:sz w:val="24"/>
          <w:szCs w:val="24"/>
        </w:rPr>
        <w:t xml:space="preserve"> can also contribute to the overall development of post-crisis financial markets.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Commission considers</w:t>
      </w:r>
      <w:r>
        <w:rPr>
          <w:rFonts w:ascii="Times New Roman" w:eastAsia="Calibri" w:hAnsi="Times New Roman" w:cs="Times New Roman"/>
          <w:noProof/>
          <w:sz w:val="24"/>
          <w:szCs w:val="24"/>
          <w:vertAlign w:val="superscript"/>
        </w:rPr>
        <w:footnoteReference w:id="45"/>
      </w:r>
      <w:r>
        <w:rPr>
          <w:rFonts w:ascii="Times New Roman" w:eastAsia="Calibri" w:hAnsi="Times New Roman" w:cs="Times New Roman"/>
          <w:noProof/>
          <w:sz w:val="24"/>
          <w:szCs w:val="24"/>
        </w:rPr>
        <w:t xml:space="preserve"> FIs particularly suitable for addressing sub-optimal investment situations in a wide range of policy areas whenever activities or operations are potentially capable of being financially viable, but are not yet attracting funding from market sources that i</w:t>
      </w:r>
      <w:r>
        <w:rPr>
          <w:rFonts w:ascii="Times New Roman" w:eastAsia="Calibri" w:hAnsi="Times New Roman" w:cs="Times New Roman"/>
          <w:noProof/>
          <w:sz w:val="24"/>
          <w:szCs w:val="24"/>
        </w:rPr>
        <w:t>s either adequate or available on reasonable terms.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EU-level intervention to improve access to risk finance is justified because of a market failure caused by significant information asymmetries and high transaction costs, exacerbated by the credit crunch </w:t>
      </w:r>
      <w:r>
        <w:rPr>
          <w:rFonts w:ascii="Times New Roman" w:eastAsia="Calibri" w:hAnsi="Times New Roman" w:cs="Times New Roman"/>
          <w:noProof/>
          <w:sz w:val="24"/>
          <w:szCs w:val="24"/>
        </w:rPr>
        <w:t>associated with the financial crisis and the low supply of VC in Europe.</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 debt financing, EU-level intervention is needed to increase the likelihood that loans are made and guarantees extended to help achieve EU-level R&amp;I policy objectives. The current </w:t>
      </w:r>
      <w:r>
        <w:rPr>
          <w:rFonts w:ascii="Times New Roman" w:eastAsia="Calibri" w:hAnsi="Times New Roman" w:cs="Times New Roman"/>
          <w:noProof/>
          <w:sz w:val="24"/>
          <w:szCs w:val="24"/>
        </w:rPr>
        <w:t>gap in the market between the demand for and supply of loans and guarantees for risky R&amp;I investments, addressed by the RSFF, is likely to persist, with banks remaining largely absent from higher-risk lending. Typically, banks lack the ability to value kno</w:t>
      </w:r>
      <w:r>
        <w:rPr>
          <w:rFonts w:ascii="Times New Roman" w:eastAsia="Calibri" w:hAnsi="Times New Roman" w:cs="Times New Roman"/>
          <w:noProof/>
          <w:sz w:val="24"/>
          <w:szCs w:val="24"/>
        </w:rPr>
        <w:t>wledge assets, such as intellectual property, and are therefore often unwilling to invest in knowledge-based companies, which usually lack tangible assets at the early stage. In consequence, many companies — both large and small — cannot obtain loans for R</w:t>
      </w:r>
      <w:r>
        <w:rPr>
          <w:rFonts w:ascii="Times New Roman" w:eastAsia="Calibri" w:hAnsi="Times New Roman" w:cs="Times New Roman"/>
          <w:noProof/>
          <w:sz w:val="24"/>
          <w:szCs w:val="24"/>
        </w:rPr>
        <w:t>&amp;I activities, or at least not on reasonable terms. Credit constraints for small firms are also due to risks arising from information asymmetries between lenders and borrowers: lenders are not able to easily separate potentially successful businesses and p</w:t>
      </w:r>
      <w:r>
        <w:rPr>
          <w:rFonts w:ascii="Times New Roman" w:eastAsia="Calibri" w:hAnsi="Times New Roman" w:cs="Times New Roman"/>
          <w:noProof/>
          <w:sz w:val="24"/>
          <w:szCs w:val="24"/>
        </w:rPr>
        <w:t>rojects from less successful ones without incurring high transaction costs. Another disincentive for lenders is that even if R&amp;I activities give rise to a commercial product or process, it is not at all certain that the company that has made the effort wil</w:t>
      </w:r>
      <w:r>
        <w:rPr>
          <w:rFonts w:ascii="Times New Roman" w:eastAsia="Calibri" w:hAnsi="Times New Roman" w:cs="Times New Roman"/>
          <w:noProof/>
          <w:sz w:val="24"/>
          <w:szCs w:val="24"/>
        </w:rPr>
        <w:t>l be able to exclusively appropriate the benefits deriving from it.</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For equity financing, EU-level intervention is needed to help improve the availability of finance for early and growth-stage investments and to boost the development of the EU's VC market.</w:t>
      </w:r>
      <w:r>
        <w:rPr>
          <w:rFonts w:ascii="Times New Roman" w:eastAsia="Calibri" w:hAnsi="Times New Roman" w:cs="Times New Roman"/>
          <w:noProof/>
          <w:sz w:val="24"/>
          <w:szCs w:val="24"/>
        </w:rPr>
        <w:t xml:space="preserve"> During the technology transfer and start-up phase, new companies have to bridge the gap between the cessation of public research grants and the possibility of attracting private finance. Public support aiming to leverage seed and start-up funds to fill th</w:t>
      </w:r>
      <w:r>
        <w:rPr>
          <w:rFonts w:ascii="Times New Roman" w:eastAsia="Calibri" w:hAnsi="Times New Roman" w:cs="Times New Roman"/>
          <w:noProof/>
          <w:sz w:val="24"/>
          <w:szCs w:val="24"/>
        </w:rPr>
        <w:t>is gap is too fragmented and intermittent. Also, most VC funds in Europe are too small to support the growth of innovative companies and do not have the critical mass to specialise or operate across borders.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both cases, however, financial instruments mu</w:t>
      </w:r>
      <w:r>
        <w:rPr>
          <w:rFonts w:ascii="Times New Roman" w:eastAsia="Calibri" w:hAnsi="Times New Roman" w:cs="Times New Roman"/>
          <w:noProof/>
          <w:sz w:val="24"/>
          <w:szCs w:val="24"/>
        </w:rPr>
        <w:t>st be designed to operate on market-based terms in order to minimise the possibility of introducing their own distortions to the market. They must also seek to mobilise additional funding that would not otherwise have been committed, and avoid crowding-out</w:t>
      </w:r>
      <w:r>
        <w:rPr>
          <w:rFonts w:ascii="Times New Roman" w:eastAsia="Calibri" w:hAnsi="Times New Roman" w:cs="Times New Roman"/>
          <w:noProof/>
          <w:sz w:val="24"/>
          <w:szCs w:val="24"/>
        </w:rPr>
        <w:t xml:space="preserve"> investors.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European Commission's right to act in the domain of access to risk finance is based on Article 173 of the Lisbon Treaty, which includes a statement that the EU should, with the Member States, encourage "</w:t>
      </w:r>
      <w:r>
        <w:rPr>
          <w:rFonts w:ascii="Times New Roman" w:eastAsia="Calibri" w:hAnsi="Times New Roman" w:cs="Times New Roman"/>
          <w:i/>
          <w:noProof/>
          <w:sz w:val="24"/>
          <w:szCs w:val="24"/>
        </w:rPr>
        <w:t>an environment favourable to initiati</w:t>
      </w:r>
      <w:r>
        <w:rPr>
          <w:rFonts w:ascii="Times New Roman" w:eastAsia="Calibri" w:hAnsi="Times New Roman" w:cs="Times New Roman"/>
          <w:i/>
          <w:noProof/>
          <w:sz w:val="24"/>
          <w:szCs w:val="24"/>
        </w:rPr>
        <w:t>ve and to the development of undertakings throughout the Union, particularly small and medium-sized undertakings</w:t>
      </w:r>
      <w:r>
        <w:rPr>
          <w:rFonts w:ascii="Times New Roman" w:eastAsia="Calibri" w:hAnsi="Times New Roman" w:cs="Times New Roman"/>
          <w:noProof/>
          <w:sz w:val="24"/>
          <w:szCs w:val="24"/>
        </w:rPr>
        <w:t>" and foster "</w:t>
      </w:r>
      <w:r>
        <w:rPr>
          <w:rFonts w:ascii="Times New Roman" w:eastAsia="Calibri" w:hAnsi="Times New Roman" w:cs="Times New Roman"/>
          <w:i/>
          <w:noProof/>
          <w:sz w:val="24"/>
          <w:szCs w:val="24"/>
        </w:rPr>
        <w:t>better exploitation of the industrial potential of policies of innovation, research and technological development</w:t>
      </w:r>
      <w:r>
        <w:rPr>
          <w:rFonts w:ascii="Times New Roman" w:eastAsia="Calibri" w:hAnsi="Times New Roman" w:cs="Times New Roman"/>
          <w:noProof/>
          <w:sz w:val="24"/>
          <w:szCs w:val="24"/>
        </w:rPr>
        <w:t>".</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European a</w:t>
      </w:r>
      <w:r>
        <w:rPr>
          <w:rFonts w:ascii="Times New Roman" w:eastAsia="Calibri" w:hAnsi="Times New Roman" w:cs="Times New Roman"/>
          <w:noProof/>
          <w:sz w:val="24"/>
          <w:szCs w:val="24"/>
        </w:rPr>
        <w:t>dded value of EU-level intervention to foster access to risk finance has six principal components: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Helping achieve EU policy objectives:   </w:t>
      </w:r>
      <w:r>
        <w:rPr>
          <w:rFonts w:ascii="Times New Roman" w:hAnsi="Times New Roman" w:cs="Times New Roman"/>
          <w:noProof/>
          <w:sz w:val="24"/>
          <w:szCs w:val="24"/>
        </w:rPr>
        <w:t>EU-level financial instruments can support the achievement of the EU's innovation policy objectives by addressing mar</w:t>
      </w:r>
      <w:r>
        <w:rPr>
          <w:rFonts w:ascii="Times New Roman" w:hAnsi="Times New Roman" w:cs="Times New Roman"/>
          <w:noProof/>
          <w:sz w:val="24"/>
          <w:szCs w:val="24"/>
        </w:rPr>
        <w:t>ket failures that lead to insufficient funding being available from market sources, typically because the field is perceived as too risky by other lenders or investors.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Facilitating the financing of cross-border projects:   </w:t>
      </w:r>
      <w:r>
        <w:rPr>
          <w:rFonts w:ascii="Times New Roman" w:hAnsi="Times New Roman" w:cs="Times New Roman"/>
          <w:noProof/>
          <w:sz w:val="24"/>
          <w:szCs w:val="24"/>
        </w:rPr>
        <w:t>Funding conditions for cross-bor</w:t>
      </w:r>
      <w:r>
        <w:rPr>
          <w:rFonts w:ascii="Times New Roman" w:hAnsi="Times New Roman" w:cs="Times New Roman"/>
          <w:noProof/>
          <w:sz w:val="24"/>
          <w:szCs w:val="24"/>
        </w:rPr>
        <w:t>der projects at national level are difficult, and particularly so in the R&amp;I domains to be covered by Horizon 2020; EU-level financial instruments can ease the fund-raising process.</w:t>
      </w:r>
    </w:p>
    <w:p w:rsidR="00E535A0" w:rsidRDefault="00C953F5">
      <w:pPr>
        <w:spacing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Demonstration and catalytic effects:</w:t>
      </w:r>
      <w:r>
        <w:rPr>
          <w:rFonts w:ascii="Times New Roman" w:hAnsi="Times New Roman" w:cs="Times New Roman"/>
          <w:noProof/>
          <w:sz w:val="24"/>
          <w:szCs w:val="24"/>
        </w:rPr>
        <w:t>   In addition to their financial impa</w:t>
      </w:r>
      <w:r>
        <w:rPr>
          <w:rFonts w:ascii="Times New Roman" w:hAnsi="Times New Roman" w:cs="Times New Roman"/>
          <w:noProof/>
          <w:sz w:val="24"/>
          <w:szCs w:val="24"/>
        </w:rPr>
        <w:t>ct, financial instruments implemented at EU level can have important non-financial effects such as demonstration effects in the targeted markets, triggering wider application to other sectors. The expertise of the EU and the financial institutions responsi</w:t>
      </w:r>
      <w:r>
        <w:rPr>
          <w:rFonts w:ascii="Times New Roman" w:hAnsi="Times New Roman" w:cs="Times New Roman"/>
          <w:noProof/>
          <w:sz w:val="24"/>
          <w:szCs w:val="24"/>
        </w:rPr>
        <w:t>ble for the implementation of EU-level financial instruments can be transferred to national, regional or local authorities. Transferring skills and knowledge across frontiers could play a significant role in aligning national policies with growth and innov</w:t>
      </w:r>
      <w:r>
        <w:rPr>
          <w:rFonts w:ascii="Times New Roman" w:hAnsi="Times New Roman" w:cs="Times New Roman"/>
          <w:noProof/>
          <w:sz w:val="24"/>
          <w:szCs w:val="24"/>
        </w:rPr>
        <w:t>ation-oriented measures, reducing disparities between Member State economies, and enhancing the EU's competitiveness.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Economies of scale:   </w:t>
      </w:r>
      <w:r>
        <w:rPr>
          <w:rFonts w:ascii="Times New Roman" w:hAnsi="Times New Roman" w:cs="Times New Roman"/>
          <w:noProof/>
          <w:sz w:val="24"/>
          <w:szCs w:val="24"/>
        </w:rPr>
        <w:t xml:space="preserve">Interventions by financial instruments at EU level generate economies of scale due to the enhanced capacity of the </w:t>
      </w:r>
      <w:r>
        <w:rPr>
          <w:rFonts w:ascii="Times New Roman" w:hAnsi="Times New Roman" w:cs="Times New Roman"/>
          <w:noProof/>
          <w:sz w:val="24"/>
          <w:szCs w:val="24"/>
        </w:rPr>
        <w:t>EU to mobilise public and private resources from the full range of Member States.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Multiplier effect:</w:t>
      </w:r>
      <w:r>
        <w:rPr>
          <w:rFonts w:ascii="Times New Roman" w:hAnsi="Times New Roman" w:cs="Times New Roman"/>
          <w:noProof/>
          <w:sz w:val="24"/>
          <w:szCs w:val="24"/>
        </w:rPr>
        <w:t>   EU-level financial instruments multiply the effect of the EU budget by attracting other public and private financing along the implementation chain compr</w:t>
      </w:r>
      <w:r>
        <w:rPr>
          <w:rFonts w:ascii="Times New Roman" w:hAnsi="Times New Roman" w:cs="Times New Roman"/>
          <w:noProof/>
          <w:sz w:val="24"/>
          <w:szCs w:val="24"/>
        </w:rPr>
        <w:t>ising entrusted entities (such as EIB), financial intermediaries (such as banks) and final beneficiaries. Through risk coverage or risk participations, the EU intervention may induce investors to invest (or to invest more) in cases where they would have no</w:t>
      </w:r>
      <w:r>
        <w:rPr>
          <w:rFonts w:ascii="Times New Roman" w:hAnsi="Times New Roman" w:cs="Times New Roman"/>
          <w:noProof/>
          <w:sz w:val="24"/>
          <w:szCs w:val="24"/>
        </w:rPr>
        <w:t>t invested at all (or invested less) without support from the EU budget. This can be achieved through co-financing by international financial institutions or through, for example, the additional debt volumes banks and guarantee institutions are requested t</w:t>
      </w:r>
      <w:r>
        <w:rPr>
          <w:rFonts w:ascii="Times New Roman" w:hAnsi="Times New Roman" w:cs="Times New Roman"/>
          <w:noProof/>
          <w:sz w:val="24"/>
          <w:szCs w:val="24"/>
        </w:rPr>
        <w:t>o provide to final beneficiaries. For example, in the case of the RSFF, by end-2013 an EU outlay of just over €1 bn is expected to mobilise over €11 bn of EIB loans and support a total investment of approximately €30 bn.</w:t>
      </w:r>
    </w:p>
    <w:p w:rsidR="00E535A0" w:rsidRDefault="00C953F5">
      <w:pPr>
        <w:spacing w:line="240" w:lineRule="auto"/>
        <w:jc w:val="both"/>
        <w:rPr>
          <w:rFonts w:ascii="Times New Roman" w:hAnsi="Times New Roman" w:cs="Times New Roman"/>
          <w:noProof/>
          <w:sz w:val="24"/>
          <w:szCs w:val="24"/>
          <w:lang w:val="en-US"/>
        </w:rPr>
      </w:pPr>
      <w:r>
        <w:rPr>
          <w:rFonts w:ascii="Times New Roman" w:hAnsi="Times New Roman" w:cs="Times New Roman"/>
          <w:b/>
          <w:i/>
          <w:iCs/>
          <w:noProof/>
          <w:sz w:val="24"/>
          <w:szCs w:val="24"/>
        </w:rPr>
        <w:t>Capacity-building:</w:t>
      </w:r>
      <w:r>
        <w:rPr>
          <w:rFonts w:ascii="Times New Roman" w:hAnsi="Times New Roman" w:cs="Times New Roman"/>
          <w:i/>
          <w:iCs/>
          <w:noProof/>
          <w:sz w:val="24"/>
          <w:szCs w:val="24"/>
        </w:rPr>
        <w:t>   </w:t>
      </w:r>
      <w:r>
        <w:rPr>
          <w:rFonts w:ascii="Times New Roman" w:hAnsi="Times New Roman" w:cs="Times New Roman"/>
          <w:noProof/>
          <w:sz w:val="24"/>
          <w:szCs w:val="24"/>
        </w:rPr>
        <w:t xml:space="preserve">National and </w:t>
      </w:r>
      <w:r>
        <w:rPr>
          <w:rFonts w:ascii="Times New Roman" w:hAnsi="Times New Roman" w:cs="Times New Roman"/>
          <w:noProof/>
          <w:sz w:val="24"/>
          <w:szCs w:val="24"/>
        </w:rPr>
        <w:t>local institutions can benefit from EU-level entrusted entities' knowhow about the design of financial products which otherwise would not have been available to them. An example is the European loan guarantee schemes implemented under the CIP and the RSFF'</w:t>
      </w:r>
      <w:r>
        <w:rPr>
          <w:rFonts w:ascii="Times New Roman" w:hAnsi="Times New Roman" w:cs="Times New Roman"/>
          <w:noProof/>
          <w:sz w:val="24"/>
          <w:szCs w:val="24"/>
        </w:rPr>
        <w:t>s RSI in FP7. In many Member States, guarantee societies are scarce or do not exist, and a European counter-guarantee scheme is important in encouraging new entrants and in supporting newer guarantee institutions still building up their portfolios. The pre</w:t>
      </w:r>
      <w:r>
        <w:rPr>
          <w:rFonts w:ascii="Times New Roman" w:hAnsi="Times New Roman" w:cs="Times New Roman"/>
          <w:noProof/>
          <w:sz w:val="24"/>
          <w:szCs w:val="24"/>
        </w:rPr>
        <w:t>sence of a European guarantee and/or counter-guarantee can either help new guarantee societies boost their volumes in their early stages of development, or facilitate the creation of such schemes, and in both case contribute to capacity-building.</w:t>
      </w:r>
    </w:p>
    <w:p w:rsidR="00E535A0" w:rsidRDefault="00C953F5">
      <w:pPr>
        <w:spacing w:line="240" w:lineRule="auto"/>
        <w:jc w:val="both"/>
        <w:rPr>
          <w:rFonts w:ascii="Times New Roman" w:eastAsiaTheme="majorEastAsia" w:hAnsi="Times New Roman" w:cs="Times New Roman"/>
          <w:noProof/>
          <w:color w:val="17365D" w:themeColor="text2" w:themeShade="BF"/>
          <w:spacing w:val="5"/>
          <w:kern w:val="28"/>
          <w:sz w:val="24"/>
          <w:szCs w:val="24"/>
        </w:rPr>
      </w:pPr>
      <w:r>
        <w:rPr>
          <w:rFonts w:ascii="Times New Roman" w:hAnsi="Times New Roman" w:cs="Times New Roman"/>
          <w:noProof/>
          <w:sz w:val="24"/>
          <w:szCs w:val="24"/>
        </w:rPr>
        <w:br w:type="page"/>
      </w:r>
    </w:p>
    <w:p w:rsidR="00E535A0" w:rsidRDefault="00C953F5">
      <w:pPr>
        <w:pStyle w:val="berschrift1"/>
        <w:rPr>
          <w:noProof/>
          <w:szCs w:val="24"/>
        </w:rPr>
      </w:pPr>
      <w:bookmarkStart w:id="22" w:name="_Toc427846573"/>
      <w:bookmarkStart w:id="23" w:name="_Toc433998135"/>
      <w:bookmarkStart w:id="24" w:name="_Toc439752805"/>
      <w:r>
        <w:rPr>
          <w:noProof/>
          <w:szCs w:val="24"/>
        </w:rPr>
        <w:t>Evaluat</w:t>
      </w:r>
      <w:r>
        <w:rPr>
          <w:noProof/>
          <w:szCs w:val="24"/>
        </w:rPr>
        <w:t>ion of Euratom FP7 indirect action</w:t>
      </w:r>
      <w:bookmarkEnd w:id="22"/>
      <w:r>
        <w:rPr>
          <w:noProof/>
          <w:szCs w:val="24"/>
        </w:rPr>
        <w:t>s</w:t>
      </w:r>
      <w:bookmarkEnd w:id="23"/>
      <w:bookmarkEnd w:id="24"/>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Programme's objectives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Euratom FP7 Decision</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rPr>
        <w:t xml:space="preserve"> defined the following objectives: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fusion energy research: to develop the knowledge base for, and to realise ITER as the major step towards, the creation of prototype r</w:t>
      </w:r>
      <w:r>
        <w:rPr>
          <w:rFonts w:ascii="Times New Roman" w:hAnsi="Times New Roman" w:cs="Times New Roman"/>
          <w:noProof/>
          <w:sz w:val="24"/>
          <w:szCs w:val="24"/>
        </w:rPr>
        <w:t xml:space="preserve">eactors for power stations that are safe, sustainable, environmentally responsible, and economically viable.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nuclear fission research: establishing a sound scientific and technical basis in order to accelerate practical developments for the safer mana</w:t>
      </w:r>
      <w:r>
        <w:rPr>
          <w:rFonts w:ascii="Times New Roman" w:hAnsi="Times New Roman" w:cs="Times New Roman"/>
          <w:noProof/>
          <w:sz w:val="24"/>
          <w:szCs w:val="24"/>
        </w:rPr>
        <w:t>gement of long-lived radioactive waste, enhancing in particular the safety performance, resource efficiency and cost-effectiveness of nuclear energy and ensuring a robust and socially acceptable system of protection of man and the environment against the e</w:t>
      </w:r>
      <w:r>
        <w:rPr>
          <w:rFonts w:ascii="Times New Roman" w:hAnsi="Times New Roman" w:cs="Times New Roman"/>
          <w:noProof/>
          <w:sz w:val="24"/>
          <w:szCs w:val="24"/>
        </w:rPr>
        <w:t>ffects of ionising radiation.</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Evolution of objectives to respond to the Fukushima accident</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Following Fukushima accident, the Council decision on the Euratom Framework Programme 2012-2013</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xml:space="preserve"> increased the focus of fission research on nuclear safety. The resea</w:t>
      </w:r>
      <w:r>
        <w:rPr>
          <w:rFonts w:ascii="Times New Roman" w:hAnsi="Times New Roman" w:cs="Times New Roman"/>
          <w:noProof/>
          <w:sz w:val="24"/>
          <w:szCs w:val="24"/>
        </w:rPr>
        <w:t xml:space="preserve">rch in the domain of nuclear (fission) systems was redefined as follows: </w:t>
      </w:r>
      <w:r>
        <w:rPr>
          <w:rFonts w:ascii="Times New Roman" w:hAnsi="Times New Roman" w:cs="Times New Roman"/>
          <w:i/>
          <w:noProof/>
          <w:sz w:val="24"/>
          <w:szCs w:val="24"/>
        </w:rPr>
        <w:t>While respecting the overall objective, research to underpin the safe operation of all reactor systems (including fuel cycle facilities) in use in Europe or, to the extent necessary i</w:t>
      </w:r>
      <w:r>
        <w:rPr>
          <w:rFonts w:ascii="Times New Roman" w:hAnsi="Times New Roman" w:cs="Times New Roman"/>
          <w:i/>
          <w:noProof/>
          <w:sz w:val="24"/>
          <w:szCs w:val="24"/>
        </w:rPr>
        <w:t xml:space="preserve">n order to maintain broad nuclear safety expertise in Europe, those reactor types which may be used in the future, focusing exclusively on safety aspects. This includes plant life assessment and management, safety culture (minimising the risk of human and </w:t>
      </w:r>
      <w:r>
        <w:rPr>
          <w:rFonts w:ascii="Times New Roman" w:hAnsi="Times New Roman" w:cs="Times New Roman"/>
          <w:i/>
          <w:noProof/>
          <w:sz w:val="24"/>
          <w:szCs w:val="24"/>
        </w:rPr>
        <w:t>organisational error), advanced safety assessment methodologies, numerical simulation tools, instrumentation and control, and prevention and mitigation of severe accidents, with associated activities to optimise knowledge management and maintain competence</w:t>
      </w:r>
      <w:r>
        <w:rPr>
          <w:rFonts w:ascii="Times New Roman" w:hAnsi="Times New Roman" w:cs="Times New Roman"/>
          <w:i/>
          <w:noProof/>
          <w:sz w:val="24"/>
          <w:szCs w:val="24"/>
        </w:rPr>
        <w:t>s</w:t>
      </w:r>
      <w:r>
        <w:rPr>
          <w:rFonts w:ascii="Times New Roman" w:hAnsi="Times New Roman" w:cs="Times New Roman"/>
          <w:noProof/>
          <w:sz w:val="24"/>
          <w:szCs w:val="24"/>
        </w:rPr>
        <w:t>.</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What have been the main achievements of the Euratom Programme?</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p>
    <w:p w:rsidR="00E535A0" w:rsidRDefault="00C953F5">
      <w:pPr>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fusion programme in FP7 had a number of significant achievements both scientifically/technically and in policy terms. A key milestone in the quest for developing fusion </w:t>
      </w:r>
      <w:r>
        <w:rPr>
          <w:rFonts w:ascii="Times New Roman" w:hAnsi="Times New Roman" w:cs="Times New Roman"/>
          <w:noProof/>
          <w:color w:val="000000"/>
          <w:sz w:val="24"/>
          <w:szCs w:val="24"/>
        </w:rPr>
        <w:t>power as a credible energy source was the signature</w:t>
      </w:r>
      <w:r>
        <w:rPr>
          <w:rFonts w:ascii="Times New Roman" w:hAnsi="Times New Roman" w:cs="Times New Roman"/>
          <w:noProof/>
          <w:sz w:val="24"/>
          <w:szCs w:val="24"/>
        </w:rPr>
        <w:t xml:space="preserve"> on 21/11/2006 of the ITER International Agreement, which formally entered into force on 24/10/2007 (the ITER partners are China, EU, India, Japan, Russia, South Korea and USA). ITER, which is being constr</w:t>
      </w:r>
      <w:r>
        <w:rPr>
          <w:rFonts w:ascii="Times New Roman" w:hAnsi="Times New Roman" w:cs="Times New Roman"/>
          <w:noProof/>
          <w:sz w:val="24"/>
          <w:szCs w:val="24"/>
        </w:rPr>
        <w:t>ucted at Cadarache in the south of France, is the fusion experiment that should demonstrate the viability of fusion at reactor scale. Thus, its significance for the future of the fusion programme cannot be underestimated. Furthermore, a domestic agency, th</w:t>
      </w:r>
      <w:r>
        <w:rPr>
          <w:rFonts w:ascii="Times New Roman" w:hAnsi="Times New Roman" w:cs="Times New Roman"/>
          <w:noProof/>
          <w:sz w:val="24"/>
          <w:szCs w:val="24"/>
        </w:rPr>
        <w:t xml:space="preserve">e Fusion for Energy Joint Undertaking (F4E), was established in Barcelona, Spain, on 27/03/2007 to manage the EU contribution to ITER. The signature of the ITER agreement and the establishment of F4E must be ranked as the most important achievements of EU </w:t>
      </w:r>
      <w:r>
        <w:rPr>
          <w:rFonts w:ascii="Times New Roman" w:hAnsi="Times New Roman" w:cs="Times New Roman"/>
          <w:noProof/>
          <w:sz w:val="24"/>
          <w:szCs w:val="24"/>
        </w:rPr>
        <w:t xml:space="preserve">fusion policy in recent years. </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An important point is that the investment in ITER must be accompanied by a vigorous fusion R&amp;D programme in the Member States; otherwise the EU will not have the capabilities and competences to reap the benefits of ITER. Fur</w:t>
      </w:r>
      <w:r>
        <w:rPr>
          <w:rFonts w:ascii="Times New Roman" w:hAnsi="Times New Roman" w:cs="Times New Roman"/>
          <w:noProof/>
          <w:sz w:val="24"/>
          <w:szCs w:val="24"/>
        </w:rPr>
        <w:t>thermore, it is necessary already now to consider the step beyond ITER, i.e. constructing a demonstration fusion reactor (DEMO), especially since there are long lead items where R&amp;D must start early. Here the fusion programmes in the Member States also pla</w:t>
      </w:r>
      <w:r>
        <w:rPr>
          <w:rFonts w:ascii="Times New Roman" w:hAnsi="Times New Roman" w:cs="Times New Roman"/>
          <w:noProof/>
          <w:sz w:val="24"/>
          <w:szCs w:val="24"/>
        </w:rPr>
        <w:t>y an important role. In order to coordinate the EU fusion research activities in FP7 the European Commission used two main instruments: The Contract of Association (CoA) and the European Fusion Development agreement (EFDA). The CoA was the basis of bilater</w:t>
      </w:r>
      <w:r>
        <w:rPr>
          <w:rFonts w:ascii="Times New Roman" w:hAnsi="Times New Roman" w:cs="Times New Roman"/>
          <w:noProof/>
          <w:sz w:val="24"/>
          <w:szCs w:val="24"/>
        </w:rPr>
        <w:t>al arrangements between the Commission and some 26 fusion research institutions throughout the Member States, and had a long and successful history in coordinating and supporting activities in EU fusion laboratories. At the beginning of 2000 it was supplem</w:t>
      </w:r>
      <w:r>
        <w:rPr>
          <w:rFonts w:ascii="Times New Roman" w:hAnsi="Times New Roman" w:cs="Times New Roman"/>
          <w:noProof/>
          <w:sz w:val="24"/>
          <w:szCs w:val="24"/>
        </w:rPr>
        <w:t>ented by EFDA, which was a multilateral agreement between the EU fusion research labs and the Commission. EFDA was particularly set up to manage high priority research items requiring close cooperation between EU fusion research institutions and for the co</w:t>
      </w:r>
      <w:r>
        <w:rPr>
          <w:rFonts w:ascii="Times New Roman" w:hAnsi="Times New Roman" w:cs="Times New Roman"/>
          <w:noProof/>
          <w:sz w:val="24"/>
          <w:szCs w:val="24"/>
        </w:rPr>
        <w:t xml:space="preserve">llective exploration of JET (the Joint European Torus, Culham, UK). Since its first plasma in 1983, JET has been the EU flagship fusion experiment; it is still the world's largest fusion device and the closest one to ITER in most respects, especially with </w:t>
      </w:r>
      <w:r>
        <w:rPr>
          <w:rFonts w:ascii="Times New Roman" w:hAnsi="Times New Roman" w:cs="Times New Roman"/>
          <w:noProof/>
          <w:sz w:val="24"/>
          <w:szCs w:val="24"/>
        </w:rPr>
        <w:t xml:space="preserve">its currently unique capacity of being able to operate with deuterium and tritium, the same fuel as ITER and future reactors. Both CoA and EFDA saw further developments in FP7, in particular the expansion to include all the enlargement countries. </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Another </w:t>
      </w:r>
      <w:r>
        <w:rPr>
          <w:rFonts w:ascii="Times New Roman" w:hAnsi="Times New Roman" w:cs="Times New Roman"/>
          <w:noProof/>
          <w:sz w:val="24"/>
          <w:szCs w:val="24"/>
        </w:rPr>
        <w:t>important policy development was the gradual re-orientation of the fusion programme during FP7, enabling greater emphasis on ITER support, education and training and expansion of fusion technology for DEMO development. This was initially driven via an evol</w:t>
      </w:r>
      <w:r>
        <w:rPr>
          <w:rFonts w:ascii="Times New Roman" w:hAnsi="Times New Roman" w:cs="Times New Roman"/>
          <w:noProof/>
          <w:sz w:val="24"/>
          <w:szCs w:val="24"/>
        </w:rPr>
        <w:t>ution of EFDA, especially: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2011, the setting up of a PPP&amp;T (Power Plant Physics and Technology) Implementing Agreement within the EFDA framework in order to promote joint DEMO-related R&amp;D.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creation of an ITER Physics Department within EFDA.</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laun</w:t>
      </w:r>
      <w:r>
        <w:rPr>
          <w:rFonts w:ascii="Times New Roman" w:hAnsi="Times New Roman" w:cs="Times New Roman"/>
          <w:noProof/>
          <w:sz w:val="24"/>
          <w:szCs w:val="24"/>
        </w:rPr>
        <w:t xml:space="preserve">ch of a Goal Oriented Training (GOT) programme, aimed at improving recruitment and training of professionals, especially engineers, where there is a shortfall in the EU fusion programme. </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provide additional support for education and trainin</w:t>
      </w:r>
      <w:r>
        <w:rPr>
          <w:rFonts w:ascii="Times New Roman" w:hAnsi="Times New Roman" w:cs="Times New Roman"/>
          <w:noProof/>
          <w:sz w:val="24"/>
          <w:szCs w:val="24"/>
        </w:rPr>
        <w:t>g, an initiative outside the framework of CoA and EFDA was initiated: the FUSENET project. It was supported by the Commission through a Coordination and Support Action, which led to the establishing of a legal entity with the same name under Dutch law, wit</w:t>
      </w:r>
      <w:r>
        <w:rPr>
          <w:rFonts w:ascii="Times New Roman" w:hAnsi="Times New Roman" w:cs="Times New Roman"/>
          <w:noProof/>
          <w:sz w:val="24"/>
          <w:szCs w:val="24"/>
        </w:rPr>
        <w:t xml:space="preserve">h the objective of better coordinating and promoting fusion education and training across Europe, especially at Master and PhD level. </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Similarly, to enhance industry involvement in fusion and encourage technology transfer between the EU fusion labs and ind</w:t>
      </w:r>
      <w:r>
        <w:rPr>
          <w:rFonts w:ascii="Times New Roman" w:hAnsi="Times New Roman" w:cs="Times New Roman"/>
          <w:noProof/>
          <w:sz w:val="24"/>
          <w:szCs w:val="24"/>
        </w:rPr>
        <w:t>ustry, two further initiatives were taken: (i) The formation of the Fusion Industry Innovation Forum (FIIF), which plays an important role in bridging the gap between fusion researchers and representatives of industries with an interest in fusion; (ii) the</w:t>
      </w:r>
      <w:r>
        <w:rPr>
          <w:rFonts w:ascii="Times New Roman" w:hAnsi="Times New Roman" w:cs="Times New Roman"/>
          <w:noProof/>
          <w:sz w:val="24"/>
          <w:szCs w:val="24"/>
        </w:rPr>
        <w:t xml:space="preserve"> FUTTA Technology Transfer project, which was launched in 2013 and again supported by the Commission through a Coordination and Support Action, the results of which will help define the strategy in this field to be followed during Horizon 2020.</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provide </w:t>
      </w:r>
      <w:r>
        <w:rPr>
          <w:rFonts w:ascii="Times New Roman" w:hAnsi="Times New Roman" w:cs="Times New Roman"/>
          <w:noProof/>
          <w:sz w:val="24"/>
          <w:szCs w:val="24"/>
        </w:rPr>
        <w:t>evidence-based support for the required evolution in the fusion programme, two crucial in-depth reviews were undertaken during the course of FP7:</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Facilities Review</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a very comprehensive evaluation of how the resources of the EU fusion programme should</w:t>
      </w:r>
      <w:r>
        <w:rPr>
          <w:rFonts w:ascii="Times New Roman" w:hAnsi="Times New Roman" w:cs="Times New Roman"/>
          <w:noProof/>
          <w:sz w:val="24"/>
          <w:szCs w:val="24"/>
        </w:rPr>
        <w:t xml:space="preserve"> be best utilised, especially in terms of experimental facilities but also generally. The report played a key role in the implementation of the FP7 fusion programme, both in terms of the use of facilities and the direction of the programme.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independent panel of experts (the 'Wagner Panel') that assessed the future of the JET facilities and reviewed a Commission document on the strategic orientation of the EU fusion programme. The Panel issued two reports</w:t>
      </w:r>
      <w:r>
        <w:rPr>
          <w:rFonts w:ascii="Times New Roman" w:hAnsi="Times New Roman" w:cs="Times New Roman"/>
          <w:noProof/>
          <w:sz w:val="24"/>
          <w:szCs w:val="24"/>
          <w:vertAlign w:val="superscript"/>
        </w:rPr>
        <w:footnoteReference w:id="49"/>
      </w:r>
      <w:r>
        <w:rPr>
          <w:rFonts w:ascii="Times New Roman" w:hAnsi="Times New Roman" w:cs="Times New Roman"/>
          <w:noProof/>
          <w:sz w:val="24"/>
          <w:szCs w:val="24"/>
        </w:rPr>
        <w:t>, the first on JET was instrumental in</w:t>
      </w:r>
      <w:r>
        <w:rPr>
          <w:rFonts w:ascii="Times New Roman" w:hAnsi="Times New Roman" w:cs="Times New Roman"/>
          <w:noProof/>
          <w:sz w:val="24"/>
          <w:szCs w:val="24"/>
        </w:rPr>
        <w:t xml:space="preserve"> the decision to continue JET operation into Horizon 2020 (2014-2018), while the second on overall programme strategy made a number of recommendations regarding the future evolution of the Euratom programme. In particular, it strongly advocated developing </w:t>
      </w:r>
      <w:r>
        <w:rPr>
          <w:rFonts w:ascii="Times New Roman" w:hAnsi="Times New Roman" w:cs="Times New Roman"/>
          <w:noProof/>
          <w:sz w:val="24"/>
          <w:szCs w:val="24"/>
        </w:rPr>
        <w:t xml:space="preserve">a realistic fusion roadmap, with the target of demonstration of (limited) fusion electricity generation by 2050.  </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the instruments used to implement the fusion programme (CoA and EFDA) up till the end of FP7 were fusion-specific and became inc</w:t>
      </w:r>
      <w:r>
        <w:rPr>
          <w:rFonts w:ascii="Times New Roman" w:hAnsi="Times New Roman" w:cs="Times New Roman"/>
          <w:noProof/>
          <w:sz w:val="24"/>
          <w:szCs w:val="24"/>
        </w:rPr>
        <w:t>reasingly out of step with the 'new management modes' being introduced in EU funding programmes for research and innovation. There were clear advantages to be gained by moving to a more streamlined structure based in joint programming between national rese</w:t>
      </w:r>
      <w:r>
        <w:rPr>
          <w:rFonts w:ascii="Times New Roman" w:hAnsi="Times New Roman" w:cs="Times New Roman"/>
          <w:noProof/>
          <w:sz w:val="24"/>
          <w:szCs w:val="24"/>
        </w:rPr>
        <w:t xml:space="preserve">arch labs, and this became the basis of the Commission's proposal for the fusion part of the Euratom programme in Horizon 2020, as well as the focus of in-depth reflection and stakeholder consultation, starting in 2011. </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As the cornerstone of this approach</w:t>
      </w:r>
      <w:r>
        <w:rPr>
          <w:rFonts w:ascii="Times New Roman" w:hAnsi="Times New Roman" w:cs="Times New Roman"/>
          <w:noProof/>
          <w:sz w:val="24"/>
          <w:szCs w:val="24"/>
        </w:rPr>
        <w:t>, and in response to the recommendations of the Wagner Panel, the Commission asked EFDA to develop, under the constraint of assuming realistic funding levels, a comprehensive roadmap for demonstrating fusion electricity production by the middle of the cent</w:t>
      </w:r>
      <w:r>
        <w:rPr>
          <w:rFonts w:ascii="Times New Roman" w:hAnsi="Times New Roman" w:cs="Times New Roman"/>
          <w:noProof/>
          <w:sz w:val="24"/>
          <w:szCs w:val="24"/>
        </w:rPr>
        <w:t>ury. The work on the roadmap was carried out under the leadership of the EFDA Leader, Dr Francesco Romanelli, and involved key staff seconded to EFDA and in the EU fusion labs together with consultation of F4E and the FIIF. This massive task was carried ou</w:t>
      </w:r>
      <w:r>
        <w:rPr>
          <w:rFonts w:ascii="Times New Roman" w:hAnsi="Times New Roman" w:cs="Times New Roman"/>
          <w:noProof/>
          <w:sz w:val="24"/>
          <w:szCs w:val="24"/>
        </w:rPr>
        <w:t>t during a very short period, essentially six months in 2012. The resulting roadmap was approved by the members of the EFDA Steering Committee (heads of the national fusion labs / research units) in October 2012. The roadmap has been extremely influential,</w:t>
      </w:r>
      <w:r>
        <w:rPr>
          <w:rFonts w:ascii="Times New Roman" w:hAnsi="Times New Roman" w:cs="Times New Roman"/>
          <w:noProof/>
          <w:sz w:val="24"/>
          <w:szCs w:val="24"/>
        </w:rPr>
        <w:t xml:space="preserve"> not least for fusion policy, and forms the basis for the new fusion Joint Programme (2014-18) implemented by the EUROfusion consortium of all national labs (ex-EFDA members) under the terms of a Horizon 2020 Grant Agreement for a European Joint Programme </w:t>
      </w:r>
      <w:r>
        <w:rPr>
          <w:rFonts w:ascii="Times New Roman" w:hAnsi="Times New Roman" w:cs="Times New Roman"/>
          <w:noProof/>
          <w:sz w:val="24"/>
          <w:szCs w:val="24"/>
        </w:rPr>
        <w:t>co-fund action.</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Regarding scientific/technical achievements in FP7, there are numerous examples, though one of the most important was undoubtedly the completion of the ITER-Like Wall (ILW) upgrade of JET (2009-2011). This put the JET tokamak in a unique po</w:t>
      </w:r>
      <w:r>
        <w:rPr>
          <w:rFonts w:ascii="Times New Roman" w:hAnsi="Times New Roman" w:cs="Times New Roman"/>
          <w:noProof/>
          <w:sz w:val="24"/>
          <w:szCs w:val="24"/>
        </w:rPr>
        <w:t>sition as the only device worldwide that uses the same combination of plasma-facing components as those to be used in ITER. It involved replacing more than 4000 internal tiles by remote handling. The ITER-Like Wall in JET has since yielded many important r</w:t>
      </w:r>
      <w:r>
        <w:rPr>
          <w:rFonts w:ascii="Times New Roman" w:hAnsi="Times New Roman" w:cs="Times New Roman"/>
          <w:noProof/>
          <w:sz w:val="24"/>
          <w:szCs w:val="24"/>
        </w:rPr>
        <w:t>esults for ITER. In particular, results confirmed that ITER could be fitted with a tungsten divertor from the start of its planned operation, avoiding the need for an initial carbon divertor and representing significant cost savings for the project as a wh</w:t>
      </w:r>
      <w:r>
        <w:rPr>
          <w:rFonts w:ascii="Times New Roman" w:hAnsi="Times New Roman" w:cs="Times New Roman"/>
          <w:noProof/>
          <w:sz w:val="24"/>
          <w:szCs w:val="24"/>
        </w:rPr>
        <w:t>ole. Furthermore, JET experiments with the ILW have revealed many new aspects associated with operating with a metallic wall, and the lessons learned are vital for future ITER operation. In this context it should be mentioned that the EU fusion programme c</w:t>
      </w:r>
      <w:r>
        <w:rPr>
          <w:rFonts w:ascii="Times New Roman" w:hAnsi="Times New Roman" w:cs="Times New Roman"/>
          <w:noProof/>
          <w:sz w:val="24"/>
          <w:szCs w:val="24"/>
        </w:rPr>
        <w:t>an boast two tokamaks with ITER-relevant geometries but of different sizes, both equipped with metallic walls: JET and ASDEX-Upgrade (located at IPP, Garching, near Munich), which started operation with a tungsten wall in 2007. This allows for a unique abi</w:t>
      </w:r>
      <w:r>
        <w:rPr>
          <w:rFonts w:ascii="Times New Roman" w:hAnsi="Times New Roman" w:cs="Times New Roman"/>
          <w:noProof/>
          <w:sz w:val="24"/>
          <w:szCs w:val="24"/>
        </w:rPr>
        <w:t>lity to use the 'step ladder' approach for making more reliable extrapolations to ITER.</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Another project on JET with direct impact on ITER was the installation and testing of an ITER-like ICRF (Ion Cyclotron Range of Frequencies) antenna (ILA) on JET. ICRF </w:t>
      </w:r>
      <w:r>
        <w:rPr>
          <w:rFonts w:ascii="Times New Roman" w:hAnsi="Times New Roman" w:cs="Times New Roman"/>
          <w:noProof/>
          <w:sz w:val="24"/>
          <w:szCs w:val="24"/>
        </w:rPr>
        <w:t>heating is used as one of the sources for heating a fusion plasma to the temperatures required for fusion to take place at a sufficient rate. The ILA provided very valuable feedback for the design of the ITER ICRF antennas.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construction of two further </w:t>
      </w:r>
      <w:r>
        <w:rPr>
          <w:rFonts w:ascii="Times New Roman" w:hAnsi="Times New Roman" w:cs="Times New Roman"/>
          <w:noProof/>
          <w:sz w:val="24"/>
          <w:szCs w:val="24"/>
        </w:rPr>
        <w:t>major new research infrastructures in Europe, which received significant support through the Euratom programme and were prioritised in the Facility Review, advanced significantly during FP7. Wendelstein7-X (W7-X), under construction at IPP Greifswald, Germ</w:t>
      </w:r>
      <w:r>
        <w:rPr>
          <w:rFonts w:ascii="Times New Roman" w:hAnsi="Times New Roman" w:cs="Times New Roman"/>
          <w:noProof/>
          <w:sz w:val="24"/>
          <w:szCs w:val="24"/>
        </w:rPr>
        <w:t xml:space="preserve">any, is also a toroidal device but based on the stellarator rather than the tokamak concept. Though not as advanced as tokamaks, stellarators are included in the fusion roadmap as an important mitigation strategy. The first plasma in W7-X is scheduled for </w:t>
      </w:r>
      <w:r>
        <w:rPr>
          <w:rFonts w:ascii="Times New Roman" w:hAnsi="Times New Roman" w:cs="Times New Roman"/>
          <w:noProof/>
          <w:sz w:val="24"/>
          <w:szCs w:val="24"/>
        </w:rPr>
        <w:t xml:space="preserve">late autumn 2015. The other facility is MAGNUM-PSI, which is a linear plasma device for testing plasma surface interaction in a much more controlled manner than is possible in an actual tokamak. Though MAGNUM-PSI has now started limited operation, it will </w:t>
      </w:r>
      <w:r>
        <w:rPr>
          <w:rFonts w:ascii="Times New Roman" w:hAnsi="Times New Roman" w:cs="Times New Roman"/>
          <w:noProof/>
          <w:sz w:val="24"/>
          <w:szCs w:val="24"/>
        </w:rPr>
        <w:t>not reach its full specification until equipped with a superconducting coil. Both W7-X and MAGNUM-PSI are or will be exploited by EUROfusion as common facilities under the new Joint Programme.</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Structural and high-heat flux materials for DEMO and fusion rea</w:t>
      </w:r>
      <w:r>
        <w:rPr>
          <w:rFonts w:ascii="Times New Roman" w:hAnsi="Times New Roman" w:cs="Times New Roman"/>
          <w:noProof/>
          <w:sz w:val="24"/>
          <w:szCs w:val="24"/>
        </w:rPr>
        <w:t>ctors is one of the long-lead items where research has already started. In order to guide the EU fusion programme on materials, a report by a group of experts was commissioned under EFDA on DEMO Structural and High-Heat Flux Materials ('Stork report'). The</w:t>
      </w:r>
      <w:r>
        <w:rPr>
          <w:rFonts w:ascii="Times New Roman" w:hAnsi="Times New Roman" w:cs="Times New Roman"/>
          <w:noProof/>
          <w:sz w:val="24"/>
          <w:szCs w:val="24"/>
        </w:rPr>
        <w:t xml:space="preserve"> final version was delivered in December 2012, and the conclusions by the group of experts had a significant influence on the fusion roadmap. The report makes many important recommendations and endorses the need for an ‘early neutron source’, which is take</w:t>
      </w:r>
      <w:r>
        <w:rPr>
          <w:rFonts w:ascii="Times New Roman" w:hAnsi="Times New Roman" w:cs="Times New Roman"/>
          <w:noProof/>
          <w:sz w:val="24"/>
          <w:szCs w:val="24"/>
        </w:rPr>
        <w:t>n up in the roadmap itself.</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An important aspect of fusion research concerns theory and modelling of fusion plasmas. Highly developed simulation models will be crucial for analysing ITER results and guiding the design of DEMO. Modelling of fusion plasma has</w:t>
      </w:r>
      <w:r>
        <w:rPr>
          <w:rFonts w:ascii="Times New Roman" w:hAnsi="Times New Roman" w:cs="Times New Roman"/>
          <w:noProof/>
          <w:sz w:val="24"/>
          <w:szCs w:val="24"/>
        </w:rPr>
        <w:t xml:space="preserve"> made enormous progress over the years, and complex and sophisticated simulation codes have been developed which require supercomputing facilities to run efficiently. To this end, during FP7 the Commission funded the procurement and operation of the HPC-FF</w:t>
      </w:r>
      <w:r>
        <w:rPr>
          <w:rFonts w:ascii="Times New Roman" w:hAnsi="Times New Roman" w:cs="Times New Roman"/>
          <w:noProof/>
          <w:sz w:val="24"/>
          <w:szCs w:val="24"/>
        </w:rPr>
        <w:t xml:space="preserve"> supercomputer (Jülich in Germany), which was dedicated to simulations relevant for fusion research. This was a highly needed tool for the modellers, and it contributed significantly to advancing simulations of fusion plasmas. </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Fission research (including </w:t>
      </w:r>
      <w:r>
        <w:rPr>
          <w:rFonts w:ascii="Times New Roman" w:hAnsi="Times New Roman" w:cs="Times New Roman"/>
          <w:b/>
          <w:noProof/>
          <w:sz w:val="24"/>
          <w:szCs w:val="24"/>
        </w:rPr>
        <w:t>radiation protection and medical applications of radiation)</w:t>
      </w:r>
    </w:p>
    <w:p w:rsidR="00E535A0" w:rsidRDefault="00C953F5">
      <w:pPr>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Fission research supported by Euratom FP7 had a substantial number of scientific achievements in all fields supported by the programme: nuclear safety, radiation protection, radioactive waste mana</w:t>
      </w:r>
      <w:r>
        <w:rPr>
          <w:rFonts w:ascii="Times New Roman" w:hAnsi="Times New Roman" w:cs="Times New Roman"/>
          <w:noProof/>
          <w:color w:val="000000"/>
          <w:sz w:val="24"/>
          <w:szCs w:val="24"/>
        </w:rPr>
        <w:t>gement. A substantial number of research proposals (288 proposals submitted for seven annual calls) prepared by 3352 applicants demonstrated a strong interest of research stakeholders to participate in nuclear research at European level. Stakeholders, incl</w:t>
      </w:r>
      <w:r>
        <w:rPr>
          <w:rFonts w:ascii="Times New Roman" w:hAnsi="Times New Roman" w:cs="Times New Roman"/>
          <w:noProof/>
          <w:color w:val="000000"/>
          <w:sz w:val="24"/>
          <w:szCs w:val="24"/>
        </w:rPr>
        <w:t xml:space="preserve">uding industry, have also shown a </w:t>
      </w:r>
      <w:r>
        <w:rPr>
          <w:rFonts w:ascii="Times New Roman" w:hAnsi="Times New Roman" w:cs="Times New Roman"/>
          <w:noProof/>
          <w:sz w:val="24"/>
          <w:szCs w:val="24"/>
        </w:rPr>
        <w:t>readiness to form consortia in response to the calls - the average consortium size in Euratom was significantly higher than across FP7 as a whole (17 compared to 12 partners per collaborative project). M</w:t>
      </w:r>
      <w:r>
        <w:rPr>
          <w:rFonts w:ascii="Times New Roman" w:hAnsi="Times New Roman" w:cs="Times New Roman"/>
          <w:noProof/>
          <w:color w:val="000000"/>
          <w:sz w:val="24"/>
          <w:szCs w:val="24"/>
        </w:rPr>
        <w:t>oreover, total inve</w:t>
      </w:r>
      <w:r>
        <w:rPr>
          <w:rFonts w:ascii="Times New Roman" w:hAnsi="Times New Roman" w:cs="Times New Roman"/>
          <w:noProof/>
          <w:color w:val="000000"/>
          <w:sz w:val="24"/>
          <w:szCs w:val="24"/>
        </w:rPr>
        <w:t>stment in funded projects was almost €660 million for a Euratom contribution of only €354 million (54% of total costs).</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Euratom FP7 activities in nuclear safety have concentrated on research in severe accidents, long-term plant operation (i.e. ageing and i</w:t>
      </w:r>
      <w:r>
        <w:rPr>
          <w:rFonts w:ascii="Times New Roman" w:hAnsi="Times New Roman" w:cs="Times New Roman"/>
          <w:noProof/>
          <w:sz w:val="24"/>
          <w:szCs w:val="24"/>
        </w:rPr>
        <w:t xml:space="preserve">ntegrity of various materials and components), plant safety simulation tools and the man-machine interface. </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Euratom funded projects, such as SARNET-2, contributed to the resolving of </w:t>
      </w:r>
      <w:r>
        <w:rPr>
          <w:rFonts w:ascii="Times New Roman" w:hAnsi="Times New Roman" w:cs="Times New Roman"/>
          <w:bCs/>
          <w:noProof/>
          <w:sz w:val="24"/>
          <w:szCs w:val="24"/>
        </w:rPr>
        <w:t xml:space="preserve">important pending issues on postulated severe accidents of existing and </w:t>
      </w:r>
      <w:r>
        <w:rPr>
          <w:rFonts w:ascii="Times New Roman" w:hAnsi="Times New Roman" w:cs="Times New Roman"/>
          <w:bCs/>
          <w:noProof/>
          <w:sz w:val="24"/>
          <w:szCs w:val="24"/>
        </w:rPr>
        <w:t>future nuclear power plants (e.g. severe core damage and resulting release of radiation in the event of ‘beyond design basis’ events)</w:t>
      </w:r>
      <w:r>
        <w:rPr>
          <w:rFonts w:ascii="Times New Roman" w:hAnsi="Times New Roman" w:cs="Times New Roman"/>
          <w:noProof/>
          <w:sz w:val="24"/>
          <w:szCs w:val="24"/>
        </w:rPr>
        <w:t xml:space="preserve">. These projects optimised use of available resources in this field and established a sustainable network to support the development of joint research programmes and a common computer tool to model and predict NPP behaviour. </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Regulatory authorities in many</w:t>
      </w:r>
      <w:r>
        <w:rPr>
          <w:rFonts w:ascii="Times New Roman" w:hAnsi="Times New Roman" w:cs="Times New Roman"/>
          <w:noProof/>
          <w:sz w:val="24"/>
          <w:szCs w:val="24"/>
        </w:rPr>
        <w:t xml:space="preserve"> countries are approving lifetime extensions of nuclear power plants (NPP) beyond original design lifetimes. The key consideration in granting an extension to the operation license is the degradation over time (thermal cycling, irradiation damage, other ch</w:t>
      </w:r>
      <w:r>
        <w:rPr>
          <w:rFonts w:ascii="Times New Roman" w:hAnsi="Times New Roman" w:cs="Times New Roman"/>
          <w:noProof/>
          <w:sz w:val="24"/>
          <w:szCs w:val="24"/>
        </w:rPr>
        <w:t xml:space="preserve">emical / physical processes) of materials and components with a safety function. </w:t>
      </w:r>
      <w:r>
        <w:rPr>
          <w:rFonts w:ascii="Times New Roman" w:hAnsi="Times New Roman" w:cs="Times New Roman"/>
          <w:bCs/>
          <w:noProof/>
          <w:sz w:val="24"/>
          <w:szCs w:val="24"/>
        </w:rPr>
        <w:t xml:space="preserve">A number of Euratom FP7 projects have focused on such issues and related management of safety-related functions (e.g. PERFORM-60, LONGLIFE, STYLE, ADVANCE). </w:t>
      </w:r>
      <w:r>
        <w:rPr>
          <w:rFonts w:ascii="Times New Roman" w:hAnsi="Times New Roman" w:cs="Times New Roman"/>
          <w:noProof/>
          <w:sz w:val="24"/>
          <w:szCs w:val="24"/>
        </w:rPr>
        <w:t>These projects inc</w:t>
      </w:r>
      <w:r>
        <w:rPr>
          <w:rFonts w:ascii="Times New Roman" w:hAnsi="Times New Roman" w:cs="Times New Roman"/>
          <w:noProof/>
          <w:sz w:val="24"/>
          <w:szCs w:val="24"/>
        </w:rPr>
        <w:t>luded partners from both research organisations and industry. In some cases, utilities were present in ‘end-user’ groups set up to advise the project partners regarding key issues for industrial nuclear generation. The projects are developing and improving</w:t>
      </w:r>
      <w:r>
        <w:rPr>
          <w:rFonts w:ascii="Times New Roman" w:hAnsi="Times New Roman" w:cs="Times New Roman"/>
          <w:noProof/>
          <w:sz w:val="24"/>
          <w:szCs w:val="24"/>
        </w:rPr>
        <w:t xml:space="preserve"> tools for predicting the combined effects of irradiation and corrosion on key components such as the reactor pressure vessel, and for the structural integrity assessment of the cooling circuit. Importantly, the projects are establishing a common and harmo</w:t>
      </w:r>
      <w:r>
        <w:rPr>
          <w:rFonts w:ascii="Times New Roman" w:hAnsi="Times New Roman" w:cs="Times New Roman"/>
          <w:noProof/>
          <w:sz w:val="24"/>
          <w:szCs w:val="24"/>
        </w:rPr>
        <w:t>nised set of tools and methods for use in all reactor lifetime assessments and related predictions in Europe.</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Several Euratom projects addressed issues raised by Fukushima accident. Specific projects have been launched addressing hydrogen issues in the con</w:t>
      </w:r>
      <w:r>
        <w:rPr>
          <w:rFonts w:ascii="Times New Roman" w:hAnsi="Times New Roman" w:cs="Times New Roman"/>
          <w:noProof/>
          <w:sz w:val="24"/>
          <w:szCs w:val="24"/>
        </w:rPr>
        <w:t>tainment (ERCOSAM), containment venting technology (PASSAM), modelling tools for severe accidents (SARNET2 and CESAM), PSA methodologies for assessing extreme external events (ASAMPSA_E), and assessment of in-vessel and ex-vessel phases of a severe acciden</w:t>
      </w:r>
      <w:r>
        <w:rPr>
          <w:rFonts w:ascii="Times New Roman" w:hAnsi="Times New Roman" w:cs="Times New Roman"/>
          <w:noProof/>
          <w:sz w:val="24"/>
          <w:szCs w:val="24"/>
        </w:rPr>
        <w:t>t (SAFEST and ALISA) in SAM topics. In addition, accident consequences for health and the environment, including marine radioecology, were investigated by DOREMI, STAR, PREPARE, COMET, and NERIS-TP under the topic of radiological and emergency preparedness</w:t>
      </w:r>
      <w:r>
        <w:rPr>
          <w:rFonts w:ascii="Times New Roman" w:hAnsi="Times New Roman" w:cs="Times New Roman"/>
          <w:noProof/>
          <w:sz w:val="24"/>
          <w:szCs w:val="24"/>
        </w:rPr>
        <w:t>.</w:t>
      </w:r>
    </w:p>
    <w:p w:rsidR="00E535A0" w:rsidRDefault="00C953F5">
      <w:pPr>
        <w:autoSpaceDE w:val="0"/>
        <w:autoSpaceDN w:val="0"/>
        <w:adjustRightInd w:val="0"/>
        <w:spacing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In radiation protection, t</w:t>
      </w:r>
      <w:r>
        <w:rPr>
          <w:rFonts w:ascii="Times New Roman" w:eastAsia="Times New Roman" w:hAnsi="Times New Roman" w:cs="Times New Roman"/>
          <w:noProof/>
          <w:sz w:val="24"/>
          <w:szCs w:val="24"/>
        </w:rPr>
        <w:t>he Euratom Programme supported the development of a comprehensive, state-of-the-art, science-based evaluation of radiation risks in low-dose research and has had a large impact in terms of publications and training of a new gene</w:t>
      </w:r>
      <w:r>
        <w:rPr>
          <w:rFonts w:ascii="Times New Roman" w:eastAsia="Times New Roman" w:hAnsi="Times New Roman" w:cs="Times New Roman"/>
          <w:noProof/>
          <w:sz w:val="24"/>
          <w:szCs w:val="24"/>
        </w:rPr>
        <w:t xml:space="preserve">ration of researchers in radiation protection. </w:t>
      </w:r>
      <w:r>
        <w:rPr>
          <w:rFonts w:ascii="Times New Roman" w:hAnsi="Times New Roman" w:cs="Times New Roman"/>
          <w:noProof/>
          <w:color w:val="000000"/>
          <w:sz w:val="24"/>
          <w:szCs w:val="24"/>
        </w:rPr>
        <w:t xml:space="preserve">A strong scientific underpinning for regulatory framework in this domain is critical in order to adequately and appropriately protect people, whilst not penalising unduly some activities through unnecessarily </w:t>
      </w:r>
      <w:r>
        <w:rPr>
          <w:rFonts w:ascii="Times New Roman" w:hAnsi="Times New Roman" w:cs="Times New Roman"/>
          <w:noProof/>
          <w:color w:val="000000"/>
          <w:sz w:val="24"/>
          <w:szCs w:val="24"/>
        </w:rPr>
        <w:t>protective and over-costly measures.</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Euratom projects have substantially contributed to the optimisation of the use of radiation in medical applications.</w:t>
      </w:r>
      <w:r>
        <w:rPr>
          <w:rFonts w:ascii="Times New Roman" w:hAnsi="Times New Roman" w:cs="Times New Roman"/>
          <w:noProof/>
          <w:sz w:val="24"/>
          <w:szCs w:val="24"/>
        </w:rPr>
        <w:t xml:space="preserve"> For example, significant advances in the use of radiation in medicine achieved by FP7 help cut down ex</w:t>
      </w:r>
      <w:r>
        <w:rPr>
          <w:rFonts w:ascii="Times New Roman" w:hAnsi="Times New Roman" w:cs="Times New Roman"/>
          <w:noProof/>
          <w:sz w:val="24"/>
          <w:szCs w:val="24"/>
        </w:rPr>
        <w:t>posures to patients which reduces the recovery time and the chance that secondary cancers occur, as well as the exposure to medical staff.  Because of the growing use of new medical diagnostic procedures such as computed tomography (CT) and positron-emissi</w:t>
      </w:r>
      <w:r>
        <w:rPr>
          <w:rFonts w:ascii="Times New Roman" w:hAnsi="Times New Roman" w:cs="Times New Roman"/>
          <w:noProof/>
          <w:sz w:val="24"/>
          <w:szCs w:val="24"/>
        </w:rPr>
        <w:t>on tomography (PET), medical exposure to radiation of the population has increased rapidly in recent years. Euratom projects have substantially contributed to the optimisation of the use of radiation in medical applications by developing innovative product</w:t>
      </w:r>
      <w:r>
        <w:rPr>
          <w:rFonts w:ascii="Times New Roman" w:hAnsi="Times New Roman" w:cs="Times New Roman"/>
          <w:noProof/>
          <w:sz w:val="24"/>
          <w:szCs w:val="24"/>
        </w:rPr>
        <w:t>s and algorithms in 3D nuclear medical imaging and breast imaging (projects MADEIRA &amp; Breast-CT), for better diagnostics, optimised patient-dose calculation and application, and higher resolution images. By enabling earlier and more accurate diagnosis, the</w:t>
      </w:r>
      <w:r>
        <w:rPr>
          <w:rFonts w:ascii="Times New Roman" w:hAnsi="Times New Roman" w:cs="Times New Roman"/>
          <w:noProof/>
          <w:sz w:val="24"/>
          <w:szCs w:val="24"/>
        </w:rPr>
        <w:t>se innovations will help to increase survival rates and reduce the high costs of cancer treatment.</w:t>
      </w:r>
    </w:p>
    <w:p w:rsidR="00E535A0" w:rsidRDefault="00C953F5">
      <w:pPr>
        <w:autoSpaceDE w:val="0"/>
        <w:autoSpaceDN w:val="0"/>
        <w:adjustRightInd w:val="0"/>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most important development in the area of low-dose research was the launch the Multidisciplinary European Low-Dose Initiative (MELODI). This would not ha</w:t>
      </w:r>
      <w:r>
        <w:rPr>
          <w:rFonts w:ascii="Times New Roman" w:eastAsia="Times New Roman" w:hAnsi="Times New Roman" w:cs="Times New Roman"/>
          <w:noProof/>
          <w:sz w:val="24"/>
          <w:szCs w:val="24"/>
        </w:rPr>
        <w:t>ve been possible without the funding and support of the Euratom Framework Programme. This initiative, since evolving into a legal entity under French law, has developed a clear vision for future radiation protection R&amp;D and a related Strategic Research Age</w:t>
      </w:r>
      <w:r>
        <w:rPr>
          <w:rFonts w:ascii="Times New Roman" w:eastAsia="Times New Roman" w:hAnsi="Times New Roman" w:cs="Times New Roman"/>
          <w:noProof/>
          <w:sz w:val="24"/>
          <w:szCs w:val="24"/>
        </w:rPr>
        <w:t xml:space="preserve">nda (SRA), which brings together the full range of necessary disciplines and competencies thanks to its large stakeholder base. SRAs in related sectors such as radioecology have also been developed thanks to other Euratom projects. All these projects have </w:t>
      </w:r>
      <w:r>
        <w:rPr>
          <w:rFonts w:ascii="Times New Roman" w:eastAsia="Times New Roman" w:hAnsi="Times New Roman" w:cs="Times New Roman"/>
          <w:noProof/>
          <w:sz w:val="24"/>
          <w:szCs w:val="24"/>
        </w:rPr>
        <w:t xml:space="preserve">helped retain European competences in technical sectors or growing importance worldwide. </w:t>
      </w:r>
      <w:r>
        <w:rPr>
          <w:rFonts w:ascii="Times New Roman" w:hAnsi="Times New Roman" w:cs="Times New Roman"/>
          <w:noProof/>
          <w:color w:val="000000"/>
          <w:sz w:val="24"/>
          <w:szCs w:val="24"/>
        </w:rPr>
        <w:t xml:space="preserve">It is worth noting that the US House of Representatives passed, in November 2014, the first Low-Dose Radiation Research Act with a view to increasing understanding of </w:t>
      </w:r>
      <w:r>
        <w:rPr>
          <w:rFonts w:ascii="Times New Roman" w:hAnsi="Times New Roman" w:cs="Times New Roman"/>
          <w:noProof/>
          <w:color w:val="000000"/>
          <w:sz w:val="24"/>
          <w:szCs w:val="24"/>
        </w:rPr>
        <w:t xml:space="preserve">the effects of low-dose radiation. </w:t>
      </w:r>
      <w:r>
        <w:rPr>
          <w:rFonts w:ascii="Times New Roman" w:hAnsi="Times New Roman" w:cs="Times New Roman"/>
          <w:noProof/>
          <w:color w:val="222222"/>
          <w:sz w:val="24"/>
          <w:szCs w:val="24"/>
        </w:rPr>
        <w:t xml:space="preserve">This underlines the importance of Europe's vision and leadership in this domain, and also highlights the potential role of and opportunities for international collaboration in this field. </w:t>
      </w:r>
      <w:r>
        <w:rPr>
          <w:rFonts w:ascii="Times New Roman" w:eastAsia="Times New Roman" w:hAnsi="Times New Roman" w:cs="Times New Roman"/>
          <w:noProof/>
          <w:sz w:val="24"/>
          <w:szCs w:val="24"/>
        </w:rPr>
        <w:t>The Euratom support has also resu</w:t>
      </w:r>
      <w:r>
        <w:rPr>
          <w:rFonts w:ascii="Times New Roman" w:eastAsia="Times New Roman" w:hAnsi="Times New Roman" w:cs="Times New Roman"/>
          <w:noProof/>
          <w:sz w:val="24"/>
          <w:szCs w:val="24"/>
        </w:rPr>
        <w:t>lted in the development of new and improved techniques, especially regarding diagnostic and imaging techniques in the medical application of radiation, that have a clear potential for commercialisation.</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Emergency management and rehabilitation have also bee</w:t>
      </w:r>
      <w:r>
        <w:rPr>
          <w:rFonts w:ascii="Times New Roman" w:hAnsi="Times New Roman" w:cs="Times New Roman"/>
          <w:noProof/>
          <w:sz w:val="24"/>
          <w:szCs w:val="24"/>
        </w:rPr>
        <w:t>n greatly improved in Europe as a result of Euratom FP7 projects that have integrated Member States' capabilities as well as providing practical information and documentation for improved guidance regarding post-accident response and clean-up.</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Managing rad</w:t>
      </w:r>
      <w:r>
        <w:rPr>
          <w:rFonts w:ascii="Times New Roman" w:hAnsi="Times New Roman" w:cs="Times New Roman"/>
          <w:noProof/>
          <w:sz w:val="24"/>
          <w:szCs w:val="24"/>
        </w:rPr>
        <w:t xml:space="preserve">ioactive waste safely is a concern for all EU Member States, whether it relates to the waste from nuclear electricity production or from radiation use in research, industry and medicine. </w:t>
      </w:r>
      <w:r>
        <w:rPr>
          <w:rFonts w:ascii="Times New Roman" w:hAnsi="Times New Roman" w:cs="Times New Roman"/>
          <w:bCs/>
          <w:noProof/>
          <w:sz w:val="24"/>
          <w:szCs w:val="24"/>
        </w:rPr>
        <w:t>Following more than 30 years of research co-funded by Euratom, geolog</w:t>
      </w:r>
      <w:r>
        <w:rPr>
          <w:rFonts w:ascii="Times New Roman" w:hAnsi="Times New Roman" w:cs="Times New Roman"/>
          <w:bCs/>
          <w:noProof/>
          <w:sz w:val="24"/>
          <w:szCs w:val="24"/>
        </w:rPr>
        <w:t xml:space="preserve">ical disposal now represents a passively safe and sustainable option for the long-term management of nuclear waste. </w:t>
      </w:r>
      <w:r>
        <w:rPr>
          <w:rFonts w:ascii="Times New Roman" w:hAnsi="Times New Roman" w:cs="Times New Roman"/>
          <w:noProof/>
          <w:sz w:val="24"/>
          <w:szCs w:val="24"/>
        </w:rPr>
        <w:t>Geological disposal relies on the capabilities of both engineered barriers and the local geology to fulfil specific safety functions in a co</w:t>
      </w:r>
      <w:r>
        <w:rPr>
          <w:rFonts w:ascii="Times New Roman" w:hAnsi="Times New Roman" w:cs="Times New Roman"/>
          <w:noProof/>
          <w:sz w:val="24"/>
          <w:szCs w:val="24"/>
        </w:rPr>
        <w:t xml:space="preserve">mplementary manner, thereby preventing the release and spread of radionuclides. </w:t>
      </w:r>
      <w:r>
        <w:rPr>
          <w:rFonts w:ascii="Times New Roman" w:hAnsi="Times New Roman" w:cs="Times New Roman"/>
          <w:bCs/>
          <w:noProof/>
          <w:sz w:val="24"/>
          <w:szCs w:val="24"/>
        </w:rPr>
        <w:t>Euratom projects launched during FP7 have contributed substantially to the overall progress in the development of geological disposal of nuclear waste. Euratom projects have re</w:t>
      </w:r>
      <w:r>
        <w:rPr>
          <w:rFonts w:ascii="Times New Roman" w:hAnsi="Times New Roman" w:cs="Times New Roman"/>
          <w:bCs/>
          <w:noProof/>
          <w:sz w:val="24"/>
          <w:szCs w:val="24"/>
        </w:rPr>
        <w:t>defined the state of the art in main areas: k</w:t>
      </w:r>
      <w:r>
        <w:rPr>
          <w:rFonts w:ascii="Times New Roman" w:hAnsi="Times New Roman" w:cs="Times New Roman"/>
          <w:bCs/>
          <w:noProof/>
          <w:color w:val="000000"/>
          <w:sz w:val="24"/>
          <w:szCs w:val="24"/>
        </w:rPr>
        <w:t>nowledge base and tools for safety assessment of waste repositories, development of repository technologies (demonstration activities by LUCOEX project), and public involvement – projects such as I</w:t>
      </w:r>
      <w:r>
        <w:rPr>
          <w:rFonts w:ascii="Times New Roman" w:hAnsi="Times New Roman" w:cs="Times New Roman"/>
          <w:noProof/>
          <w:color w:val="000000"/>
          <w:sz w:val="24"/>
          <w:szCs w:val="24"/>
        </w:rPr>
        <w:t>PPA, INSOTEC p</w:t>
      </w:r>
      <w:r>
        <w:rPr>
          <w:rFonts w:ascii="Times New Roman" w:hAnsi="Times New Roman" w:cs="Times New Roman"/>
          <w:noProof/>
          <w:color w:val="000000"/>
          <w:sz w:val="24"/>
          <w:szCs w:val="24"/>
        </w:rPr>
        <w:t xml:space="preserve">rovided a neutral forum for discussion between all concerned stakeholders, including local communities, enabling progress in actual disposal programmes.  </w:t>
      </w:r>
      <w:r>
        <w:rPr>
          <w:rFonts w:ascii="Times New Roman" w:hAnsi="Times New Roman" w:cs="Times New Roman"/>
          <w:noProof/>
          <w:sz w:val="24"/>
          <w:szCs w:val="24"/>
        </w:rPr>
        <w:t xml:space="preserve">Decisions regarding disposal of radioactive waste are taken at the national level and should be based </w:t>
      </w:r>
      <w:r>
        <w:rPr>
          <w:rFonts w:ascii="Times New Roman" w:hAnsi="Times New Roman" w:cs="Times New Roman"/>
          <w:noProof/>
          <w:sz w:val="24"/>
          <w:szCs w:val="24"/>
        </w:rPr>
        <w:t xml:space="preserve">on a sound understanding of the scientific and technical issues and related risks. The aim of the Euratom programme over the past 25 years has been to support national waste management programmes in this regard. </w:t>
      </w:r>
      <w:r>
        <w:rPr>
          <w:rFonts w:ascii="Times New Roman" w:hAnsi="Times New Roman" w:cs="Times New Roman"/>
          <w:bCs/>
          <w:noProof/>
          <w:sz w:val="24"/>
          <w:szCs w:val="24"/>
        </w:rPr>
        <w:t>The success of the overall strategy is now e</w:t>
      </w:r>
      <w:r>
        <w:rPr>
          <w:rFonts w:ascii="Times New Roman" w:hAnsi="Times New Roman" w:cs="Times New Roman"/>
          <w:bCs/>
          <w:noProof/>
          <w:sz w:val="24"/>
          <w:szCs w:val="24"/>
        </w:rPr>
        <w:t xml:space="preserve">vident, with the leading Member States (Finland, Sweden, France) now confidently expecting to be operating geological repositories by 2020-25. </w:t>
      </w:r>
      <w:r>
        <w:rPr>
          <w:rFonts w:ascii="Times New Roman" w:hAnsi="Times New Roman" w:cs="Times New Roman"/>
          <w:noProof/>
          <w:sz w:val="24"/>
          <w:szCs w:val="24"/>
        </w:rPr>
        <w:t>These will be the first such facilities anywhere in the world, and show the responsible attitude and determinatio</w:t>
      </w:r>
      <w:r>
        <w:rPr>
          <w:rFonts w:ascii="Times New Roman" w:hAnsi="Times New Roman" w:cs="Times New Roman"/>
          <w:noProof/>
          <w:sz w:val="24"/>
          <w:szCs w:val="24"/>
        </w:rPr>
        <w:t xml:space="preserve">n in Europe to manage sustainably the waste from the back end of the nuclear fuel cycle. This is as much a </w:t>
      </w:r>
      <w:r>
        <w:rPr>
          <w:rFonts w:ascii="Times New Roman" w:hAnsi="Times New Roman" w:cs="Times New Roman"/>
          <w:noProof/>
          <w:color w:val="000000"/>
          <w:sz w:val="24"/>
          <w:szCs w:val="24"/>
        </w:rPr>
        <w:t>success for the Euratom programme as it is for the countries concerned.</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FP7, Euratom supported research in the area of a</w:t>
      </w:r>
      <w:r>
        <w:rPr>
          <w:rFonts w:ascii="Times New Roman" w:hAnsi="Times New Roman" w:cs="Times New Roman"/>
          <w:bCs/>
          <w:noProof/>
          <w:sz w:val="24"/>
          <w:szCs w:val="24"/>
        </w:rPr>
        <w:t>dvanced nuclear system</w:t>
      </w:r>
      <w:r>
        <w:rPr>
          <w:rFonts w:ascii="Times New Roman" w:hAnsi="Times New Roman" w:cs="Times New Roman"/>
          <w:bCs/>
          <w:noProof/>
          <w:sz w:val="24"/>
          <w:szCs w:val="24"/>
        </w:rPr>
        <w:t>s and fuel cycles</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While safety forms the cornerstone of Euratom nuclear research, sustainability has come to the fore during last 10 years as a key issue and is a major driver behind designs for a new generation of nuclear reactors. Currently, most of the</w:t>
      </w:r>
      <w:r>
        <w:rPr>
          <w:rFonts w:ascii="Times New Roman" w:hAnsi="Times New Roman" w:cs="Times New Roman"/>
          <w:noProof/>
          <w:color w:val="000000"/>
          <w:sz w:val="24"/>
          <w:szCs w:val="24"/>
        </w:rPr>
        <w:t xml:space="preserve"> uranium going into water-cooled reactors comes out unused. These reactors operate with 'thermalised’ (slowed down) neutrons, which are less efficient than faster (more energetic) neutrons in maximising the use of the original uranium. Research on next gen</w:t>
      </w:r>
      <w:r>
        <w:rPr>
          <w:rFonts w:ascii="Times New Roman" w:hAnsi="Times New Roman" w:cs="Times New Roman"/>
          <w:noProof/>
          <w:color w:val="000000"/>
          <w:sz w:val="24"/>
          <w:szCs w:val="24"/>
        </w:rPr>
        <w:t xml:space="preserve">eration (so-called Generation-IV) reactor systems is focusing more on fast neutron spectra, requiring the use of sodium, lead, helium or molten fluoride salts as coolants instead of 'normal' water. </w:t>
      </w:r>
      <w:r>
        <w:rPr>
          <w:rFonts w:ascii="Times New Roman" w:hAnsi="Times New Roman" w:cs="Times New Roman"/>
          <w:bCs/>
          <w:noProof/>
          <w:color w:val="000000"/>
          <w:sz w:val="24"/>
          <w:szCs w:val="24"/>
        </w:rPr>
        <w:t xml:space="preserve">These fast neutron reactors will be able to ‘burn’ almost </w:t>
      </w:r>
      <w:r>
        <w:rPr>
          <w:rFonts w:ascii="Times New Roman" w:hAnsi="Times New Roman" w:cs="Times New Roman"/>
          <w:bCs/>
          <w:noProof/>
          <w:color w:val="000000"/>
          <w:sz w:val="24"/>
          <w:szCs w:val="24"/>
        </w:rPr>
        <w:t>all of the fuel, thereby extracting the maximum energetic content from the original uranium (50-100 times more than in current reactors), at the same time ‘burning’ a significant amount of minor actinides, which would otherwise be a troublesome constituent</w:t>
      </w:r>
      <w:r>
        <w:rPr>
          <w:rFonts w:ascii="Times New Roman" w:hAnsi="Times New Roman" w:cs="Times New Roman"/>
          <w:bCs/>
          <w:noProof/>
          <w:color w:val="000000"/>
          <w:sz w:val="24"/>
          <w:szCs w:val="24"/>
        </w:rPr>
        <w:t xml:space="preserve"> of the high-level radioactive waste. This has huge implications for the sustainability of nuclear energy.</w:t>
      </w:r>
    </w:p>
    <w:p w:rsidR="00E535A0" w:rsidRDefault="00C953F5">
      <w:pPr>
        <w:autoSpaceDE w:val="0"/>
        <w:autoSpaceDN w:val="0"/>
        <w:adjustRightInd w:val="0"/>
        <w:spacing w:after="24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Euratom FP7 projects represent the next step in the development of advanced nuclear systems, focusing on pre-conceptual designs of main options of Ge</w:t>
      </w:r>
      <w:r>
        <w:rPr>
          <w:rFonts w:ascii="Times New Roman" w:hAnsi="Times New Roman" w:cs="Times New Roman"/>
          <w:bCs/>
          <w:noProof/>
          <w:sz w:val="24"/>
          <w:szCs w:val="24"/>
        </w:rPr>
        <w:t xml:space="preserve">neration IV technologies.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Sodium Fast Reactor (SFR) - thanks to the large integrated collaborative project on European Sodium Fast Reactor (CP ESFR), Core design options to improve inherent safety and transmutation capabilities have been identified, and </w:t>
      </w:r>
      <w:r>
        <w:rPr>
          <w:rFonts w:ascii="Times New Roman" w:hAnsi="Times New Roman" w:cs="Times New Roman"/>
          <w:noProof/>
          <w:sz w:val="24"/>
          <w:szCs w:val="24"/>
        </w:rPr>
        <w:t>solutions for the improvement of SFR safety have been identified and reviewed. Finally, innovative options for the main reactor components and fluids have been identified and studied.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Gas Fast Reactor (GFR) – the FP7 project GOFASTR advanced conceptual des</w:t>
      </w:r>
      <w:r>
        <w:rPr>
          <w:rFonts w:ascii="Times New Roman" w:hAnsi="Times New Roman" w:cs="Times New Roman"/>
          <w:noProof/>
          <w:sz w:val="24"/>
          <w:szCs w:val="24"/>
        </w:rPr>
        <w:t>ign of GFR to the point where the viability of the system can be established. Also the conceptual design of an experimental demonstration reactor (ALLEGRO) was developed. Probabilistic safety studies and severe accident analyses were conducted for both the</w:t>
      </w:r>
      <w:r>
        <w:rPr>
          <w:rFonts w:ascii="Times New Roman" w:hAnsi="Times New Roman" w:cs="Times New Roman"/>
          <w:noProof/>
          <w:sz w:val="24"/>
          <w:szCs w:val="24"/>
        </w:rPr>
        <w:t xml:space="preserve"> GFR and ALLEGRO.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Lead Fast Reactor – FP7 project LEADER resulted in the conceptual design of the demonstrator Advanced Lead Fast Reactor European Demonstrator (ALFRED), a 300 MW</w:t>
      </w:r>
      <w:r>
        <w:rPr>
          <w:rFonts w:ascii="Times New Roman" w:hAnsi="Times New Roman" w:cs="Times New Roman"/>
          <w:noProof/>
          <w:sz w:val="24"/>
          <w:szCs w:val="24"/>
          <w:vertAlign w:val="subscript"/>
        </w:rPr>
        <w:t>th</w:t>
      </w:r>
      <w:r>
        <w:rPr>
          <w:rFonts w:ascii="Times New Roman" w:hAnsi="Times New Roman" w:cs="Times New Roman"/>
          <w:noProof/>
          <w:sz w:val="24"/>
          <w:szCs w:val="24"/>
        </w:rPr>
        <w:t xml:space="preserve"> pool system aimed at proving the viability of the European LFR technology </w:t>
      </w:r>
      <w:r>
        <w:rPr>
          <w:rFonts w:ascii="Times New Roman" w:hAnsi="Times New Roman" w:cs="Times New Roman"/>
          <w:noProof/>
          <w:sz w:val="24"/>
          <w:szCs w:val="24"/>
        </w:rPr>
        <w:t>for use in a future commercial power plant. The project defined also an extensive portfolio of R&amp;D needs to be covered by future projects. Other FP7 project SILER addressed specifically the risks associated with seismic-initiated events in Generation IV He</w:t>
      </w:r>
      <w:r>
        <w:rPr>
          <w:rFonts w:ascii="Times New Roman" w:hAnsi="Times New Roman" w:cs="Times New Roman"/>
          <w:noProof/>
          <w:sz w:val="24"/>
          <w:szCs w:val="24"/>
        </w:rPr>
        <w:t xml:space="preserve">avy Liquid Metal reactors (including MYRRHA), with a view to developing adequate protection measures.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Euratom programme supported research on the design of the multi-purpose hybrid research reactor for high-tech applications (MYRRHA). MYRRHA, once </w:t>
      </w:r>
      <w:r>
        <w:rPr>
          <w:rFonts w:ascii="Times New Roman" w:hAnsi="Times New Roman" w:cs="Times New Roman"/>
          <w:noProof/>
          <w:sz w:val="24"/>
          <w:szCs w:val="24"/>
        </w:rPr>
        <w:t>constructed, will be a large-scale state-of-the-art research infrastructure fostering European leadership in nuclear technologies, by maintaining a high level of expertise in fission safety, management of high level nuclear waste through P&amp;T, and cross-cut</w:t>
      </w:r>
      <w:r>
        <w:rPr>
          <w:rFonts w:ascii="Times New Roman" w:hAnsi="Times New Roman" w:cs="Times New Roman"/>
          <w:noProof/>
          <w:sz w:val="24"/>
          <w:szCs w:val="24"/>
        </w:rPr>
        <w:t>ting fields. The secure production of radioisotopes for medical applications for European citizens' health and welfare will also be ensured.</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Euratom contributed to increase European and international wide S&amp;T collaboration and networking for sharin</w:t>
      </w:r>
      <w:r>
        <w:rPr>
          <w:rFonts w:ascii="Times New Roman" w:hAnsi="Times New Roman" w:cs="Times New Roman"/>
          <w:b/>
          <w:noProof/>
          <w:sz w:val="24"/>
          <w:szCs w:val="24"/>
        </w:rPr>
        <w:t>g R&amp;D risks and costs?</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Fusion research in Europe, thanks to the role played by Euratom since the 1970s, is widely acknowledged as one of the best examples of the European Research Area (ERA) in action. The cooperation between European fusio</w:t>
      </w:r>
      <w:r>
        <w:rPr>
          <w:rFonts w:ascii="Times New Roman" w:hAnsi="Times New Roman" w:cs="Times New Roman"/>
          <w:noProof/>
          <w:sz w:val="24"/>
          <w:szCs w:val="24"/>
        </w:rPr>
        <w:t>n laboratories was further strengthened during FP7, and in a foretaste of what was to become widespread under the Joint Programme in Horizon 2020, many activities within EFDA took on an increasingly projected-oriented form.</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Collaboration under EFDA was exp</w:t>
      </w:r>
      <w:r>
        <w:rPr>
          <w:rFonts w:ascii="Times New Roman" w:hAnsi="Times New Roman" w:cs="Times New Roman"/>
          <w:noProof/>
          <w:sz w:val="24"/>
          <w:szCs w:val="24"/>
        </w:rPr>
        <w:t>anded through the signature of an Implementing Agreement on Power Plant Physics and Technology (PPP&amp;T) in 2011, which led to enhanced cooperation particularly on technology for DEMO. Despite the restricted budget and relatively short duration, this activit</w:t>
      </w:r>
      <w:r>
        <w:rPr>
          <w:rFonts w:ascii="Times New Roman" w:hAnsi="Times New Roman" w:cs="Times New Roman"/>
          <w:noProof/>
          <w:sz w:val="24"/>
          <w:szCs w:val="24"/>
        </w:rPr>
        <w:t>y can report a number of substantial achievements during 2011-2013, undoubtedly driven by the effective cooperation and open exchange of results. The strong response of fusion labs to the research needs of ITER was also a result of the coherence of their p</w:t>
      </w:r>
      <w:r>
        <w:rPr>
          <w:rFonts w:ascii="Times New Roman" w:hAnsi="Times New Roman" w:cs="Times New Roman"/>
          <w:noProof/>
          <w:sz w:val="24"/>
          <w:szCs w:val="24"/>
        </w:rPr>
        <w:t>rogrammes brought about by the steering and funding of the research by Euratom, especially that channelled through EFDA.</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Of course, an important focus of EU-wide cooperation remained the joint exploitation of JET, though other smaller facilities supported </w:t>
      </w:r>
      <w:r>
        <w:rPr>
          <w:rFonts w:ascii="Times New Roman" w:hAnsi="Times New Roman" w:cs="Times New Roman"/>
          <w:noProof/>
          <w:sz w:val="24"/>
          <w:szCs w:val="24"/>
        </w:rPr>
        <w:t>by Euratom also generated an extensive network of bilateral and multilateral collaborations between the European laboratories.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successful EFDA initiatives include the taskforces on Plasma Wall Interaction (PWI-TF) and Integrated Tokamak Modelling (IT</w:t>
      </w:r>
      <w:r>
        <w:rPr>
          <w:rFonts w:ascii="Times New Roman" w:hAnsi="Times New Roman" w:cs="Times New Roman"/>
          <w:noProof/>
          <w:sz w:val="24"/>
          <w:szCs w:val="24"/>
        </w:rPr>
        <w:t>M-TF), which were complimented by a number of topical groups on high priority physics topics and have provided important results and feedback for ITER in particular (code development and validation, benchmarking, etc.).</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integration of the fusion progra</w:t>
      </w:r>
      <w:r>
        <w:rPr>
          <w:rFonts w:ascii="Times New Roman" w:hAnsi="Times New Roman" w:cs="Times New Roman"/>
          <w:noProof/>
          <w:sz w:val="24"/>
          <w:szCs w:val="24"/>
        </w:rPr>
        <w:t>mme into an effective European Research Area can be seen quantitatively in the number of joint publications, the level of participation in the collective exploitation of JET, and in the 'clustering' of national labs. A growing majority of publications (abo</w:t>
      </w:r>
      <w:r>
        <w:rPr>
          <w:rFonts w:ascii="Times New Roman" w:hAnsi="Times New Roman" w:cs="Times New Roman"/>
          <w:noProof/>
          <w:sz w:val="24"/>
          <w:szCs w:val="24"/>
        </w:rPr>
        <w:t>ut 57%) originate from the joint efforts of two or more labs. These papers also have higher than average number of citations. Specifically, for CEA the number of publications co-signed with partners outside France increased from 75% in 2006 to 84% in 2009,</w:t>
      </w:r>
      <w:r>
        <w:rPr>
          <w:rFonts w:ascii="Times New Roman" w:hAnsi="Times New Roman" w:cs="Times New Roman"/>
          <w:noProof/>
          <w:sz w:val="24"/>
          <w:szCs w:val="24"/>
        </w:rPr>
        <w:t xml:space="preserve"> with an overwhelming preponderance of institutes in the Euratom programme. For CCFE (UK) the fraction of joint publications (other than those generated by JET) was 65% for the years 2009/10. For IPP-Garching, publications resulting from the exploitation o</w:t>
      </w:r>
      <w:r>
        <w:rPr>
          <w:rFonts w:ascii="Times New Roman" w:hAnsi="Times New Roman" w:cs="Times New Roman"/>
          <w:noProof/>
          <w:sz w:val="24"/>
          <w:szCs w:val="24"/>
        </w:rPr>
        <w:t>f ASDEX Upgrade and co-authored by IPP researchers and external co-authors (usually from another European labs) account for more than 60% of all publications since 2004. This 'Europeanisation' of ASDEX Upgrade has resulted in approximately 35% of papers no</w:t>
      </w:r>
      <w:r>
        <w:rPr>
          <w:rFonts w:ascii="Times New Roman" w:hAnsi="Times New Roman" w:cs="Times New Roman"/>
          <w:noProof/>
          <w:sz w:val="24"/>
          <w:szCs w:val="24"/>
        </w:rPr>
        <w:t>w having a first author from outside IPP. For smaller labs, the Euratom programme provided the possibility to work on world-leading devices such as JET, ASDEX Upgrade and other medium-sized facilities across Europe. In the case of IST (Portugal) the fracti</w:t>
      </w:r>
      <w:r>
        <w:rPr>
          <w:rFonts w:ascii="Times New Roman" w:hAnsi="Times New Roman" w:cs="Times New Roman"/>
          <w:noProof/>
          <w:sz w:val="24"/>
          <w:szCs w:val="24"/>
        </w:rPr>
        <w:t>on of journal publications being an outcome of such to 90% (2008).</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Fission research</w:t>
      </w:r>
      <w:r>
        <w:rPr>
          <w:rFonts w:ascii="Times New Roman" w:hAnsi="Times New Roman" w:cs="Times New Roman"/>
          <w:b/>
          <w:noProof/>
          <w:sz w:val="24"/>
          <w:szCs w:val="24"/>
          <w:vertAlign w:val="superscript"/>
        </w:rPr>
        <w:footnoteReference w:id="50"/>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Improvement of ERA was one of the main objectives of Euratom projects. ERA needs well-coordinated research programmes and priorities, including a significant volume of j</w:t>
      </w:r>
      <w:r>
        <w:rPr>
          <w:rFonts w:ascii="Times New Roman" w:hAnsi="Times New Roman" w:cs="Times New Roman"/>
          <w:noProof/>
          <w:sz w:val="24"/>
          <w:szCs w:val="24"/>
        </w:rPr>
        <w:t>ointly-programmed public research investment at European level involving common priorities, coordinated implementation and joint evaluation. These objectives can be achieved by the creation of interest groups, networks, consortia, and through international</w:t>
      </w:r>
      <w:r>
        <w:rPr>
          <w:rFonts w:ascii="Times New Roman" w:hAnsi="Times New Roman" w:cs="Times New Roman"/>
          <w:noProof/>
          <w:sz w:val="24"/>
          <w:szCs w:val="24"/>
        </w:rPr>
        <w:t xml:space="preserve"> cooperation.</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Euratom fission programme, one very positive initiative was to launch projects that could improve the links between such areas as basic and more applied research, or between investigations at various scales (e.g. atomic to macroscopic)</w:t>
      </w:r>
      <w:r>
        <w:rPr>
          <w:rFonts w:ascii="Times New Roman" w:hAnsi="Times New Roman" w:cs="Times New Roman"/>
          <w:noProof/>
          <w:sz w:val="24"/>
          <w:szCs w:val="24"/>
        </w:rPr>
        <w:t>, or that could combine effectively modelling and experiments, experts and students, etc. A good example was the project F-BRIDGE – basic research in support of innovative fuels design for the Generation IV systems.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Special attention was also devoted to th</w:t>
      </w:r>
      <w:r>
        <w:rPr>
          <w:rFonts w:ascii="Times New Roman" w:hAnsi="Times New Roman" w:cs="Times New Roman"/>
          <w:noProof/>
          <w:sz w:val="24"/>
          <w:szCs w:val="24"/>
        </w:rPr>
        <w:t>e access to experimental facilities. Projects were supported in the area of developing and running world class research infrastructures in Europe, including increased integration, networking and accessibility to research teams from across Europe and the wo</w:t>
      </w:r>
      <w:r>
        <w:rPr>
          <w:rFonts w:ascii="Times New Roman" w:hAnsi="Times New Roman" w:cs="Times New Roman"/>
          <w:noProof/>
          <w:sz w:val="24"/>
          <w:szCs w:val="24"/>
        </w:rPr>
        <w:t>rld. One can underline the following positive examples: ACTINET-I3 (ACTINET Integrated Infrastructure Initiative), HELIMNET (Heavy Liquid Metal network) and JHR-CP (Jules Horowitz Reactor – Collaborative Project), which all brought together the key stakeho</w:t>
      </w:r>
      <w:r>
        <w:rPr>
          <w:rFonts w:ascii="Times New Roman" w:hAnsi="Times New Roman" w:cs="Times New Roman"/>
          <w:noProof/>
          <w:sz w:val="24"/>
          <w:szCs w:val="24"/>
        </w:rPr>
        <w:t>lders and facility managers in Europe.</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ASAMPSA2 (Advanced safety assessment methodologies: level 2 PSA) an end-user community was set up to apply the results of the project – this same approach was also adopted in other projects. The results of SARNET2 </w:t>
      </w:r>
      <w:r>
        <w:rPr>
          <w:rFonts w:ascii="Times New Roman" w:hAnsi="Times New Roman" w:cs="Times New Roman"/>
          <w:noProof/>
          <w:sz w:val="24"/>
          <w:szCs w:val="24"/>
        </w:rPr>
        <w:t>are very positive: the project succeeded in networking R&amp;D activities over a range of severe accident disciplines and diverse organisations, which led to the acceptance of a pan-European severe accident code as a reference and also to the updating of R&amp;D r</w:t>
      </w:r>
      <w:r>
        <w:rPr>
          <w:rFonts w:ascii="Times New Roman" w:hAnsi="Times New Roman" w:cs="Times New Roman"/>
          <w:noProof/>
          <w:sz w:val="24"/>
          <w:szCs w:val="24"/>
        </w:rPr>
        <w:t>equirements in this field, including at the international level. The project EU-NMR-An (Towards a European Competence Centre for Nuclear Magnetic Resonance (NMR) on actinides) successfully combined the efforts of experts in NMR and actinide chemistry. Simi</w:t>
      </w:r>
      <w:r>
        <w:rPr>
          <w:rFonts w:ascii="Times New Roman" w:hAnsi="Times New Roman" w:cs="Times New Roman"/>
          <w:noProof/>
          <w:sz w:val="24"/>
          <w:szCs w:val="24"/>
        </w:rPr>
        <w:t>larly, EUROPAIRS (End-User Requirements for industrial process heat applications with Innovative nuclear reactors for sustainable energy supply) brought together nuclear and process heat R&amp;D organisations.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and several other projects made significant </w:t>
      </w:r>
      <w:r>
        <w:rPr>
          <w:rFonts w:ascii="Times New Roman" w:hAnsi="Times New Roman" w:cs="Times New Roman"/>
          <w:noProof/>
          <w:sz w:val="24"/>
          <w:szCs w:val="24"/>
        </w:rPr>
        <w:t>progress in pushing interdisciplinary research agendas in areas that were formerly quite disparate, with effective cooperation between national efforts (at least within Europe, but also internationally) being a key prerequisite. By also stressing the inter</w:t>
      </w:r>
      <w:r>
        <w:rPr>
          <w:rFonts w:ascii="Times New Roman" w:hAnsi="Times New Roman" w:cs="Times New Roman"/>
          <w:noProof/>
          <w:sz w:val="24"/>
          <w:szCs w:val="24"/>
        </w:rPr>
        <w:t>national dimension, these projects contributed to a widening of ERA to the world as a whole (EUROPAIRS is a good example). They also provided the basis for long-term European cooperation, which contributed to the establishing of clear European leadership i</w:t>
      </w:r>
      <w:r>
        <w:rPr>
          <w:rFonts w:ascii="Times New Roman" w:hAnsi="Times New Roman" w:cs="Times New Roman"/>
          <w:noProof/>
          <w:sz w:val="24"/>
          <w:szCs w:val="24"/>
        </w:rPr>
        <w:t>n the given field, as well as reconciling differences between Western Europe and the new Member States. This was especially important in view of the Russian reactor technology in use in a number of new Member States; LONGLIFE (Treatment of long term irradi</w:t>
      </w:r>
      <w:r>
        <w:rPr>
          <w:rFonts w:ascii="Times New Roman" w:hAnsi="Times New Roman" w:cs="Times New Roman"/>
          <w:noProof/>
          <w:sz w:val="24"/>
          <w:szCs w:val="24"/>
        </w:rPr>
        <w:t>ation embrittlement effects in RPV safety assessment) is a good example of such a project.</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Euratom contribute to improve the coordination of European, national and regional Energy research policies?</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p>
    <w:p w:rsidR="00E535A0" w:rsidRDefault="00C953F5">
      <w:pPr>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fusion domain, Euratom pla</w:t>
      </w:r>
      <w:r>
        <w:rPr>
          <w:rFonts w:ascii="Times New Roman" w:hAnsi="Times New Roman" w:cs="Times New Roman"/>
          <w:noProof/>
          <w:color w:val="000000"/>
          <w:sz w:val="24"/>
          <w:szCs w:val="24"/>
        </w:rPr>
        <w:t>yed a significant role in the definition and coordination of fusion policy and strategy in Member States. Through the bi-lateral Contracts of Association, the Commission shared equal rights with the national labs in the definition of national programmes as</w:t>
      </w:r>
      <w:r>
        <w:rPr>
          <w:rFonts w:ascii="Times New Roman" w:hAnsi="Times New Roman" w:cs="Times New Roman"/>
          <w:noProof/>
          <w:color w:val="000000"/>
          <w:sz w:val="24"/>
          <w:szCs w:val="24"/>
        </w:rPr>
        <w:t xml:space="preserve"> well as having voting powers on the Steering Committee of EFDA. Significant examples of the role that Euratom played in the coordination of the programme include: the provision of the High Performance Computer; a coordinated approach to code development a</w:t>
      </w:r>
      <w:r>
        <w:rPr>
          <w:rFonts w:ascii="Times New Roman" w:hAnsi="Times New Roman" w:cs="Times New Roman"/>
          <w:noProof/>
          <w:color w:val="000000"/>
          <w:sz w:val="24"/>
          <w:szCs w:val="24"/>
        </w:rPr>
        <w:t>nd validation resulting in the licensing to the main IT platforms for ITER operation; the generation of a common understanding and strategy for the use of facilities recommended in the Facility Review report; the development of the roadmap to electricity f</w:t>
      </w:r>
      <w:r>
        <w:rPr>
          <w:rFonts w:ascii="Times New Roman" w:hAnsi="Times New Roman" w:cs="Times New Roman"/>
          <w:noProof/>
          <w:color w:val="000000"/>
          <w:sz w:val="24"/>
          <w:szCs w:val="24"/>
        </w:rPr>
        <w:t xml:space="preserve">rom fusion energy and the unanimous agreement of all the European stakeholders. </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Fission research</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In the fission field, </w:t>
      </w:r>
      <w:r>
        <w:rPr>
          <w:rFonts w:ascii="Times New Roman" w:hAnsi="Times New Roman" w:cs="Times New Roman"/>
          <w:noProof/>
          <w:sz w:val="24"/>
          <w:szCs w:val="24"/>
        </w:rPr>
        <w:t xml:space="preserve">Euratom supported the creation of area-specific Technology Platforms and, in the context of the SET-Plan, European Industrial Initiatives. The </w:t>
      </w:r>
      <w:r>
        <w:rPr>
          <w:rFonts w:ascii="Times New Roman" w:hAnsi="Times New Roman" w:cs="Times New Roman"/>
          <w:bCs/>
          <w:noProof/>
          <w:sz w:val="24"/>
          <w:szCs w:val="24"/>
        </w:rPr>
        <w:t>period 2007-2010 saw the launch of key technical forums that brought together all key nuclear research and indust</w:t>
      </w:r>
      <w:r>
        <w:rPr>
          <w:rFonts w:ascii="Times New Roman" w:hAnsi="Times New Roman" w:cs="Times New Roman"/>
          <w:bCs/>
          <w:noProof/>
          <w:sz w:val="24"/>
          <w:szCs w:val="24"/>
        </w:rPr>
        <w:t xml:space="preserve">rial stakeholders across Europe. </w:t>
      </w:r>
      <w:r>
        <w:rPr>
          <w:rFonts w:ascii="Times New Roman" w:hAnsi="Times New Roman" w:cs="Times New Roman"/>
          <w:noProof/>
          <w:sz w:val="24"/>
          <w:szCs w:val="24"/>
        </w:rPr>
        <w:t xml:space="preserve">These are the Technology Platforms in Sustainable Nuclear Energy and Implementing Geological Disposal (SNETP, IGDTP) and the joint programming initiative the Multidisciplinary European Low-Dose Initiative (MELODI). </w:t>
      </w:r>
      <w:r>
        <w:rPr>
          <w:rFonts w:ascii="Times New Roman" w:hAnsi="Times New Roman" w:cs="Times New Roman"/>
          <w:bCs/>
          <w:noProof/>
          <w:sz w:val="24"/>
          <w:szCs w:val="24"/>
        </w:rPr>
        <w:t xml:space="preserve">None of </w:t>
      </w:r>
      <w:r>
        <w:rPr>
          <w:rFonts w:ascii="Times New Roman" w:hAnsi="Times New Roman" w:cs="Times New Roman"/>
          <w:bCs/>
          <w:noProof/>
          <w:sz w:val="24"/>
          <w:szCs w:val="24"/>
        </w:rPr>
        <w:t xml:space="preserve">these achievements would have been possible without the funding and support of Euratom FP7 </w:t>
      </w:r>
      <w:r>
        <w:rPr>
          <w:rFonts w:ascii="Times New Roman" w:hAnsi="Times New Roman" w:cs="Times New Roman"/>
          <w:noProof/>
          <w:sz w:val="24"/>
          <w:szCs w:val="24"/>
        </w:rPr>
        <w:t xml:space="preserve">through projects such as SNF-TP, CARD (establishing of SNETP and IGDTP) and HLEG &amp; DoReMi (for MELODI). </w:t>
      </w:r>
      <w:r>
        <w:rPr>
          <w:rFonts w:ascii="Times New Roman" w:hAnsi="Times New Roman" w:cs="Times New Roman"/>
          <w:bCs/>
          <w:noProof/>
          <w:sz w:val="24"/>
          <w:szCs w:val="24"/>
        </w:rPr>
        <w:t>All three technical forums came together around agreed vision</w:t>
      </w:r>
      <w:r>
        <w:rPr>
          <w:rFonts w:ascii="Times New Roman" w:hAnsi="Times New Roman" w:cs="Times New Roman"/>
          <w:bCs/>
          <w:noProof/>
          <w:sz w:val="24"/>
          <w:szCs w:val="24"/>
        </w:rPr>
        <w:t>s for future R&amp;D in their respective fields, and all have defined Strategic Research Agendas (SRA) and Deployment Strategies</w:t>
      </w:r>
      <w:r>
        <w:rPr>
          <w:rFonts w:ascii="Times New Roman" w:hAnsi="Times New Roman" w:cs="Times New Roman"/>
          <w:noProof/>
          <w:sz w:val="24"/>
          <w:szCs w:val="24"/>
        </w:rPr>
        <w:t>, implemented jointly by sharing resources or even joint programming. SNETP and IGDTP were closely aligned with the objectives of th</w:t>
      </w:r>
      <w:r>
        <w:rPr>
          <w:rFonts w:ascii="Times New Roman" w:hAnsi="Times New Roman" w:cs="Times New Roman"/>
          <w:noProof/>
          <w:sz w:val="24"/>
          <w:szCs w:val="24"/>
        </w:rPr>
        <w:t>e SET-Plan, and all three forums continue to be used by the Euratom programme as a source of priority topics for inclusion in calls for proposals. This ensures that the Euratom programme remains focused on the issues of most widespread interest and importa</w:t>
      </w:r>
      <w:r>
        <w:rPr>
          <w:rFonts w:ascii="Times New Roman" w:hAnsi="Times New Roman" w:cs="Times New Roman"/>
          <w:noProof/>
          <w:sz w:val="24"/>
          <w:szCs w:val="24"/>
        </w:rPr>
        <w:t xml:space="preserve">nce in Europe. </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Euratom strengthen the scientific excellence of basic research in Europe? </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r>
        <w:rPr>
          <w:rFonts w:ascii="Times New Roman" w:hAnsi="Times New Roman" w:cs="Times New Roman"/>
          <w:b/>
          <w:noProof/>
          <w:sz w:val="24"/>
          <w:szCs w:val="24"/>
          <w:vertAlign w:val="superscript"/>
        </w:rPr>
        <w:footnoteReference w:id="51"/>
      </w:r>
    </w:p>
    <w:p w:rsidR="00E535A0" w:rsidRDefault="00C953F5">
      <w:pPr>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Scientific outputs of the Euratom Programme in fusion research have been substantial. There is a steady flow of results from Euratom-funde</w:t>
      </w:r>
      <w:r>
        <w:rPr>
          <w:rFonts w:ascii="Times New Roman" w:hAnsi="Times New Roman" w:cs="Times New Roman"/>
          <w:noProof/>
          <w:color w:val="000000"/>
          <w:sz w:val="24"/>
          <w:szCs w:val="24"/>
        </w:rPr>
        <w:t>d research in internationally peer-reviewed scientific articles in high impact scientific journals. Results have been published in more than 5000 internationally reviewed articles as shown in figure 1 below.</w:t>
      </w:r>
    </w:p>
    <w:p w:rsidR="00E535A0" w:rsidRDefault="00C953F5">
      <w:pPr>
        <w:autoSpaceDE w:val="0"/>
        <w:autoSpaceDN w:val="0"/>
        <w:adjustRightInd w:val="0"/>
        <w:spacing w:after="240" w:line="240" w:lineRule="auto"/>
        <w:jc w:val="both"/>
        <w:rPr>
          <w:rFonts w:ascii="Times New Roman" w:hAnsi="Times New Roman" w:cs="Times New Roman"/>
          <w:noProof/>
          <w:sz w:val="24"/>
          <w:szCs w:val="24"/>
          <w:lang w:eastAsia="de-DE"/>
        </w:rPr>
      </w:pPr>
      <w:r>
        <w:rPr>
          <w:rFonts w:ascii="Times New Roman" w:hAnsi="Times New Roman" w:cs="Times New Roman"/>
          <w:noProof/>
          <w:sz w:val="24"/>
          <w:szCs w:val="24"/>
          <w:lang w:val="de-DE" w:eastAsia="de-DE"/>
        </w:rPr>
        <w:drawing>
          <wp:inline distT="0" distB="0" distL="0" distR="0" wp14:anchorId="0FB24229" wp14:editId="44A0E926">
            <wp:extent cx="4165008" cy="2660073"/>
            <wp:effectExtent l="0" t="0" r="26035" b="26035"/>
            <wp:docPr id="34" name="Char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535A0" w:rsidRDefault="00C953F5">
      <w:pPr>
        <w:autoSpaceDE w:val="0"/>
        <w:autoSpaceDN w:val="0"/>
        <w:adjustRightInd w:val="0"/>
        <w:spacing w:after="240" w:line="240" w:lineRule="auto"/>
        <w:jc w:val="both"/>
        <w:rPr>
          <w:rFonts w:ascii="Times New Roman" w:hAnsi="Times New Roman" w:cs="Times New Roman"/>
          <w:noProof/>
          <w:sz w:val="24"/>
          <w:szCs w:val="24"/>
          <w:lang w:eastAsia="de-DE"/>
        </w:rPr>
      </w:pPr>
      <w:r>
        <w:rPr>
          <w:rFonts w:ascii="Times New Roman" w:hAnsi="Times New Roman" w:cs="Times New Roman"/>
          <w:i/>
          <w:noProof/>
          <w:color w:val="000000"/>
          <w:sz w:val="24"/>
          <w:szCs w:val="24"/>
        </w:rPr>
        <w:t>Source: Scopus</w:t>
      </w:r>
    </w:p>
    <w:p w:rsidR="00E535A0" w:rsidRDefault="00C953F5">
      <w:pPr>
        <w:pStyle w:val="Listennummer"/>
        <w:numPr>
          <w:ilvl w:val="0"/>
          <w:numId w:val="0"/>
        </w:numPr>
        <w:rPr>
          <w:noProof/>
        </w:rPr>
      </w:pPr>
      <w:r>
        <w:rPr>
          <w:noProof/>
        </w:rPr>
        <w:t xml:space="preserve">The average number of </w:t>
      </w:r>
      <w:r>
        <w:rPr>
          <w:noProof/>
        </w:rPr>
        <w:t>peer-reviewed publications per annum in journals from European fusion associations (at least one author) over the FP7 period is 665. This represents an almost 20% increase over the FP6 period, when an average of 565 papers per annum were published. The tot</w:t>
      </w:r>
      <w:r>
        <w:rPr>
          <w:noProof/>
        </w:rPr>
        <w:t>al number of citations – a measure of the impact of the work – has increased even more strongly: an average of over 8600 citations per annum during FP7 compared with around 2200 under FP6. Indeed, the number of citations rose more or less steadily over the</w:t>
      </w:r>
      <w:r>
        <w:rPr>
          <w:noProof/>
        </w:rPr>
        <w:t xml:space="preserve"> FP7 period, almost doubling between 2007 and 2013.</w:t>
      </w:r>
    </w:p>
    <w:p w:rsidR="00E535A0" w:rsidRDefault="00C953F5">
      <w:pPr>
        <w:pStyle w:val="Listennummer"/>
        <w:numPr>
          <w:ilvl w:val="0"/>
          <w:numId w:val="0"/>
        </w:numPr>
        <w:rPr>
          <w:noProof/>
        </w:rPr>
      </w:pPr>
      <w:r>
        <w:rPr>
          <w:noProof/>
        </w:rPr>
        <w:t>These papers are in leading international journals. The greatest number (over 1000) appear in “Fusion Engineering and Design”, an indicator of European scientists’ role at the forefront in the technology,</w:t>
      </w:r>
      <w:r>
        <w:rPr>
          <w:noProof/>
        </w:rPr>
        <w:t xml:space="preserve"> operation and design of current and future devices – this journal publishes many papers on ITER, DEMO and longer term reactor studies. Over 100 papers have also been published in the leading journals in the field “Nuclear Fusion”  and “Plasma Physics and </w:t>
      </w:r>
      <w:r>
        <w:rPr>
          <w:noProof/>
        </w:rPr>
        <w:t>Controlled Fusion”, focusing more on physics, with the strong research efforts into materials and plasma-wall interactions represented by over 800 papers in “Journal of Nuclear Materials”. European leadership in the crucial field of plasma wall interaction</w:t>
      </w:r>
      <w:r>
        <w:rPr>
          <w:noProof/>
        </w:rPr>
        <w:t>s is evidenced by a key paper summarising the outcomes of the PWI task Force with relevance to ITER</w:t>
      </w:r>
      <w:r>
        <w:rPr>
          <w:noProof/>
          <w:vertAlign w:val="superscript"/>
        </w:rPr>
        <w:footnoteReference w:id="52"/>
      </w:r>
      <w:r>
        <w:rPr>
          <w:noProof/>
        </w:rPr>
        <w:t>, which already has over 240 citations. European work on ELM mitigation has also had notably high impact, with, for example, two papers receiving respective</w:t>
      </w:r>
      <w:r>
        <w:rPr>
          <w:noProof/>
        </w:rPr>
        <w:t>ly over 220 and 150 citations</w:t>
      </w:r>
      <w:r>
        <w:rPr>
          <w:noProof/>
          <w:vertAlign w:val="superscript"/>
        </w:rPr>
        <w:footnoteReference w:id="53"/>
      </w:r>
      <w:r>
        <w:rPr>
          <w:noProof/>
        </w:rPr>
        <w:t>. Many of these papers have won prizes. Much other European work has featured as invited talks at leading international conferences, notably the biennial IAEA Fusion Energy conferences.</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Fission research</w:t>
      </w:r>
    </w:p>
    <w:p w:rsidR="00E535A0" w:rsidRDefault="00C953F5">
      <w:pPr>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nuclear fission, 73 </w:t>
      </w:r>
      <w:r>
        <w:rPr>
          <w:rFonts w:ascii="Times New Roman" w:hAnsi="Times New Roman" w:cs="Times New Roman"/>
          <w:noProof/>
          <w:color w:val="000000"/>
          <w:sz w:val="24"/>
          <w:szCs w:val="24"/>
        </w:rPr>
        <w:t>completed projects (out of 134 in total during FP7) resulted in 563 publications in peer-reviewed journals, of which 128 were published in high impact journals (see tables 1 and 2 below)</w:t>
      </w:r>
      <w:r>
        <w:rPr>
          <w:rFonts w:ascii="Times New Roman" w:hAnsi="Times New Roman" w:cs="Times New Roman"/>
          <w:noProof/>
          <w:sz w:val="24"/>
          <w:szCs w:val="24"/>
          <w:vertAlign w:val="superscript"/>
        </w:rPr>
        <w:footnoteReference w:id="54"/>
      </w:r>
      <w:r>
        <w:rPr>
          <w:rFonts w:ascii="Times New Roman" w:hAnsi="Times New Roman" w:cs="Times New Roman"/>
          <w:noProof/>
          <w:color w:val="000000"/>
          <w:sz w:val="24"/>
          <w:szCs w:val="24"/>
        </w:rPr>
        <w:t xml:space="preserve">. </w:t>
      </w:r>
    </w:p>
    <w:tbl>
      <w:tblPr>
        <w:tblStyle w:val="TableGrid7"/>
        <w:tblW w:w="0" w:type="auto"/>
        <w:tblLook w:val="04A0" w:firstRow="1" w:lastRow="0" w:firstColumn="1" w:lastColumn="0" w:noHBand="0" w:noVBand="1"/>
      </w:tblPr>
      <w:tblGrid>
        <w:gridCol w:w="3253"/>
        <w:gridCol w:w="1958"/>
        <w:gridCol w:w="2268"/>
      </w:tblGrid>
      <w:tr w:rsidR="00E535A0">
        <w:trPr>
          <w:trHeight w:val="248"/>
        </w:trPr>
        <w:tc>
          <w:tcPr>
            <w:tcW w:w="7479" w:type="dxa"/>
            <w:gridSpan w:val="3"/>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Table 1</w:t>
            </w:r>
          </w:p>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Publications from fission related projects</w:t>
            </w:r>
          </w:p>
        </w:tc>
      </w:tr>
      <w:tr w:rsidR="00E535A0">
        <w:trPr>
          <w:trHeight w:val="525"/>
        </w:trPr>
        <w:tc>
          <w:tcPr>
            <w:tcW w:w="3253" w:type="dxa"/>
          </w:tcPr>
          <w:p w:rsidR="00E535A0" w:rsidRDefault="00E535A0">
            <w:pPr>
              <w:spacing w:after="240"/>
              <w:jc w:val="both"/>
              <w:rPr>
                <w:rFonts w:ascii="Times New Roman" w:hAnsi="Times New Roman" w:cs="Times New Roman"/>
                <w:b/>
                <w:noProof/>
                <w:color w:val="000000"/>
                <w:szCs w:val="24"/>
              </w:rPr>
            </w:pPr>
          </w:p>
        </w:tc>
        <w:tc>
          <w:tcPr>
            <w:tcW w:w="1958" w:type="dxa"/>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No. of public</w:t>
            </w:r>
            <w:r>
              <w:rPr>
                <w:rFonts w:ascii="Times New Roman" w:hAnsi="Times New Roman" w:cs="Times New Roman"/>
                <w:b/>
                <w:noProof/>
                <w:color w:val="000000"/>
                <w:szCs w:val="24"/>
              </w:rPr>
              <w:t>ations</w:t>
            </w:r>
          </w:p>
        </w:tc>
        <w:tc>
          <w:tcPr>
            <w:tcW w:w="2268" w:type="dxa"/>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No. of publications in high impact peer-reviewed journals</w:t>
            </w:r>
          </w:p>
        </w:tc>
      </w:tr>
      <w:tr w:rsidR="00E535A0">
        <w:trPr>
          <w:trHeight w:val="525"/>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Management of Ultimate Radioactive Waste</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109</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29</w:t>
            </w:r>
          </w:p>
        </w:tc>
      </w:tr>
      <w:tr w:rsidR="00E535A0">
        <w:trPr>
          <w:trHeight w:val="300"/>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Reactor Systems</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207</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48</w:t>
            </w:r>
          </w:p>
        </w:tc>
      </w:tr>
      <w:tr w:rsidR="00E535A0">
        <w:trPr>
          <w:trHeight w:val="300"/>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Radiation Protection</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94</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15</w:t>
            </w:r>
          </w:p>
        </w:tc>
      </w:tr>
      <w:tr w:rsidR="00E535A0">
        <w:trPr>
          <w:trHeight w:val="300"/>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Infrastructures</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56</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11</w:t>
            </w:r>
          </w:p>
        </w:tc>
      </w:tr>
      <w:tr w:rsidR="00E535A0">
        <w:trPr>
          <w:trHeight w:val="300"/>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Human Resources and training</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w:t>
            </w:r>
          </w:p>
        </w:tc>
      </w:tr>
      <w:tr w:rsidR="00E535A0">
        <w:trPr>
          <w:trHeight w:val="300"/>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Cross-Cutting Actions</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65</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12</w:t>
            </w:r>
          </w:p>
        </w:tc>
      </w:tr>
      <w:tr w:rsidR="00E535A0">
        <w:trPr>
          <w:trHeight w:val="525"/>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Cooperation with Third Countries</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31</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13</w:t>
            </w:r>
          </w:p>
        </w:tc>
      </w:tr>
      <w:tr w:rsidR="00E535A0">
        <w:trPr>
          <w:trHeight w:val="315"/>
        </w:trPr>
        <w:tc>
          <w:tcPr>
            <w:tcW w:w="3253"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 Total</w:t>
            </w:r>
          </w:p>
        </w:tc>
        <w:tc>
          <w:tcPr>
            <w:tcW w:w="195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563</w:t>
            </w:r>
          </w:p>
        </w:tc>
        <w:tc>
          <w:tcPr>
            <w:tcW w:w="2268" w:type="dxa"/>
            <w:hideMark/>
          </w:tcPr>
          <w:p w:rsidR="00E535A0" w:rsidRDefault="00C953F5">
            <w:pPr>
              <w:spacing w:after="240"/>
              <w:jc w:val="both"/>
              <w:rPr>
                <w:rFonts w:ascii="Times New Roman" w:hAnsi="Times New Roman" w:cs="Times New Roman"/>
                <w:b/>
                <w:noProof/>
                <w:color w:val="000000"/>
                <w:szCs w:val="24"/>
              </w:rPr>
            </w:pPr>
            <w:r>
              <w:rPr>
                <w:rFonts w:ascii="Times New Roman" w:hAnsi="Times New Roman" w:cs="Times New Roman"/>
                <w:b/>
                <w:noProof/>
                <w:color w:val="000000"/>
                <w:szCs w:val="24"/>
              </w:rPr>
              <w:t>128</w:t>
            </w:r>
          </w:p>
        </w:tc>
      </w:tr>
    </w:tbl>
    <w:p w:rsidR="00E535A0" w:rsidRDefault="00C953F5">
      <w:pPr>
        <w:autoSpaceDE w:val="0"/>
        <w:autoSpaceDN w:val="0"/>
        <w:adjustRightInd w:val="0"/>
        <w:spacing w:after="24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Source: European Commission</w:t>
      </w:r>
    </w:p>
    <w:p w:rsidR="00E535A0" w:rsidRDefault="00E535A0">
      <w:pPr>
        <w:spacing w:line="240" w:lineRule="auto"/>
        <w:jc w:val="both"/>
        <w:rPr>
          <w:rFonts w:ascii="Times New Roman" w:hAnsi="Times New Roman" w:cs="Times New Roman"/>
          <w:i/>
          <w:noProof/>
          <w:color w:val="000000"/>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992"/>
        <w:gridCol w:w="1418"/>
        <w:gridCol w:w="1417"/>
      </w:tblGrid>
      <w:tr w:rsidR="00E535A0">
        <w:trPr>
          <w:cantSplit/>
          <w:trHeight w:val="562"/>
        </w:trPr>
        <w:tc>
          <w:tcPr>
            <w:tcW w:w="9498" w:type="dxa"/>
            <w:gridSpan w:val="4"/>
            <w:shd w:val="clear" w:color="auto" w:fill="auto"/>
          </w:tcPr>
          <w:p w:rsidR="00E535A0" w:rsidRDefault="00C953F5">
            <w:pPr>
              <w:spacing w:after="240" w:line="240" w:lineRule="auto"/>
              <w:jc w:val="both"/>
              <w:rPr>
                <w:rFonts w:ascii="Times New Roman" w:eastAsia="Times New Roman" w:hAnsi="Times New Roman" w:cs="Times New Roman"/>
                <w:b/>
                <w:noProof/>
                <w:color w:val="000000"/>
                <w:sz w:val="20"/>
                <w:szCs w:val="24"/>
                <w:lang w:eastAsia="en-GB"/>
              </w:rPr>
            </w:pPr>
            <w:r>
              <w:rPr>
                <w:rFonts w:ascii="Times New Roman" w:hAnsi="Times New Roman" w:cs="Times New Roman"/>
                <w:b/>
                <w:noProof/>
                <w:sz w:val="24"/>
                <w:szCs w:val="24"/>
              </w:rPr>
              <w:t>Table 2 Top 20 Peer Reviewed Journals by Number of Publications submitted by Euratom FP7 fission projects</w:t>
            </w:r>
          </w:p>
        </w:tc>
      </w:tr>
      <w:tr w:rsidR="00E535A0">
        <w:trPr>
          <w:cantSplit/>
          <w:trHeight w:val="502"/>
        </w:trPr>
        <w:tc>
          <w:tcPr>
            <w:tcW w:w="5671" w:type="dxa"/>
            <w:shd w:val="clear" w:color="auto" w:fill="auto"/>
            <w:hideMark/>
          </w:tcPr>
          <w:p w:rsidR="00E535A0" w:rsidRDefault="00C953F5">
            <w:pPr>
              <w:spacing w:after="240" w:line="240" w:lineRule="auto"/>
              <w:jc w:val="both"/>
              <w:rPr>
                <w:rFonts w:ascii="Times New Roman" w:eastAsia="Times New Roman" w:hAnsi="Times New Roman" w:cs="Times New Roman"/>
                <w:b/>
                <w:noProof/>
                <w:color w:val="000000"/>
                <w:sz w:val="20"/>
                <w:szCs w:val="24"/>
                <w:lang w:eastAsia="en-GB"/>
              </w:rPr>
            </w:pPr>
            <w:r>
              <w:rPr>
                <w:rFonts w:ascii="Times New Roman" w:eastAsia="Times New Roman" w:hAnsi="Times New Roman" w:cs="Times New Roman"/>
                <w:b/>
                <w:noProof/>
                <w:color w:val="000000"/>
                <w:sz w:val="20"/>
                <w:szCs w:val="24"/>
                <w:lang w:eastAsia="en-GB"/>
              </w:rPr>
              <w:t>Journal title</w:t>
            </w:r>
          </w:p>
        </w:tc>
        <w:tc>
          <w:tcPr>
            <w:tcW w:w="992" w:type="dxa"/>
            <w:shd w:val="clear" w:color="auto" w:fill="auto"/>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SJR</w:t>
            </w:r>
            <w:r>
              <w:rPr>
                <w:rFonts w:ascii="Times New Roman" w:eastAsia="Times New Roman" w:hAnsi="Times New Roman" w:cs="Times New Roman"/>
                <w:b/>
                <w:bCs/>
                <w:noProof/>
                <w:color w:val="000000"/>
                <w:sz w:val="20"/>
                <w:szCs w:val="24"/>
                <w:vertAlign w:val="superscript"/>
                <w:lang w:eastAsia="en-GB"/>
              </w:rPr>
              <w:footnoteReference w:id="55"/>
            </w:r>
          </w:p>
        </w:tc>
        <w:tc>
          <w:tcPr>
            <w:tcW w:w="1418" w:type="dxa"/>
            <w:shd w:val="clear" w:color="auto" w:fill="auto"/>
            <w:hideMark/>
          </w:tcPr>
          <w:p w:rsidR="00E535A0" w:rsidRDefault="00C953F5">
            <w:pPr>
              <w:spacing w:after="240" w:line="240" w:lineRule="auto"/>
              <w:jc w:val="both"/>
              <w:rPr>
                <w:rFonts w:ascii="Times New Roman" w:eastAsia="Times New Roman" w:hAnsi="Times New Roman" w:cs="Times New Roman"/>
                <w:b/>
                <w:noProof/>
                <w:color w:val="000000"/>
                <w:sz w:val="20"/>
                <w:szCs w:val="24"/>
                <w:lang w:eastAsia="en-GB"/>
              </w:rPr>
            </w:pPr>
            <w:r>
              <w:rPr>
                <w:rFonts w:ascii="Times New Roman" w:eastAsia="Times New Roman" w:hAnsi="Times New Roman" w:cs="Times New Roman"/>
                <w:b/>
                <w:noProof/>
                <w:color w:val="000000"/>
                <w:sz w:val="20"/>
                <w:szCs w:val="24"/>
                <w:lang w:eastAsia="en-GB"/>
              </w:rPr>
              <w:t>Number of publications</w:t>
            </w:r>
          </w:p>
        </w:tc>
        <w:tc>
          <w:tcPr>
            <w:tcW w:w="1417" w:type="dxa"/>
            <w:shd w:val="clear" w:color="auto" w:fill="auto"/>
            <w:hideMark/>
          </w:tcPr>
          <w:p w:rsidR="00E535A0" w:rsidRDefault="00C953F5">
            <w:pPr>
              <w:spacing w:after="240" w:line="240" w:lineRule="auto"/>
              <w:jc w:val="both"/>
              <w:rPr>
                <w:rFonts w:ascii="Times New Roman" w:eastAsia="Times New Roman" w:hAnsi="Times New Roman" w:cs="Times New Roman"/>
                <w:b/>
                <w:noProof/>
                <w:color w:val="000000"/>
                <w:sz w:val="20"/>
                <w:szCs w:val="24"/>
                <w:lang w:eastAsia="en-GB"/>
              </w:rPr>
            </w:pPr>
            <w:r>
              <w:rPr>
                <w:rFonts w:ascii="Times New Roman" w:eastAsia="Times New Roman" w:hAnsi="Times New Roman" w:cs="Times New Roman"/>
                <w:b/>
                <w:noProof/>
                <w:color w:val="000000"/>
                <w:sz w:val="20"/>
                <w:szCs w:val="24"/>
                <w:lang w:eastAsia="en-GB"/>
              </w:rPr>
              <w:t>% of all publications</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Chemical Reviews</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15.9</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Science</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11.2</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222"/>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Nature Reviews Cancer</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9.3</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505"/>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Proceedings of the NAS of the United States</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5.4</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473"/>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Journal of the American Chemical Society</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4.4</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International Journal of Plasticity</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3.7</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2</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0.36%</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 xml:space="preserve">Energy </w:t>
            </w:r>
            <w:r>
              <w:rPr>
                <w:rFonts w:ascii="Times New Roman" w:eastAsia="Times New Roman" w:hAnsi="Times New Roman" w:cs="Times New Roman"/>
                <w:noProof/>
                <w:color w:val="000000"/>
                <w:sz w:val="20"/>
                <w:szCs w:val="24"/>
                <w:lang w:eastAsia="en-GB"/>
              </w:rPr>
              <w:t>and Environmental Science</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3.1</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3</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0.53%</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Materials Today</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3.1</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2</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0.36%</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Acta Materialia</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2.9</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6</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1.07%</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ISME Journal</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2.9</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Environmental Science and Technology</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2.7</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2</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0.36%</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European Physical Journal C</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2.7</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525"/>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 xml:space="preserve">Physical Review B - Condensed Matter and </w:t>
            </w:r>
            <w:r>
              <w:rPr>
                <w:rFonts w:ascii="Times New Roman" w:eastAsia="Times New Roman" w:hAnsi="Times New Roman" w:cs="Times New Roman"/>
                <w:noProof/>
                <w:color w:val="000000"/>
                <w:sz w:val="20"/>
                <w:szCs w:val="24"/>
                <w:lang w:eastAsia="en-GB"/>
              </w:rPr>
              <w:t>Materials Physics</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2.7</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17</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3.02%</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Geochmica et Cosmochimica Acta</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2.5</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6</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1.07%</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FASEB Journal</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2.4</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Chemical Communications</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2.3</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Chemical Geology</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2.3</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Physical Review C - Nuclear Physics</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2.3</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4</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0.71%</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Radiotherapy and Oncology</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2.3</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5</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0.89%</w:t>
            </w:r>
          </w:p>
        </w:tc>
      </w:tr>
      <w:tr w:rsidR="00E535A0">
        <w:trPr>
          <w:cantSplit/>
          <w:trHeight w:val="347"/>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British Journal of Cancer</w:t>
            </w:r>
          </w:p>
        </w:tc>
        <w:tc>
          <w:tcPr>
            <w:tcW w:w="992"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b/>
                <w:bCs/>
                <w:noProof/>
                <w:color w:val="000000"/>
                <w:sz w:val="20"/>
                <w:szCs w:val="24"/>
                <w:lang w:eastAsia="en-GB"/>
              </w:rPr>
            </w:pPr>
            <w:r>
              <w:rPr>
                <w:rFonts w:ascii="Times New Roman" w:eastAsia="Times New Roman" w:hAnsi="Times New Roman" w:cs="Times New Roman"/>
                <w:b/>
                <w:bCs/>
                <w:noProof/>
                <w:color w:val="000000"/>
                <w:sz w:val="20"/>
                <w:szCs w:val="24"/>
                <w:lang w:eastAsia="en-GB"/>
              </w:rPr>
              <w:t>2.1</w:t>
            </w: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0.18%</w:t>
            </w:r>
          </w:p>
        </w:tc>
      </w:tr>
      <w:tr w:rsidR="00E535A0">
        <w:trPr>
          <w:cantSplit/>
          <w:trHeight w:val="300"/>
        </w:trPr>
        <w:tc>
          <w:tcPr>
            <w:tcW w:w="5671"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Total</w:t>
            </w:r>
          </w:p>
        </w:tc>
        <w:tc>
          <w:tcPr>
            <w:tcW w:w="992" w:type="dxa"/>
            <w:shd w:val="clear" w:color="auto" w:fill="auto"/>
            <w:vAlign w:val="bottom"/>
            <w:hideMark/>
          </w:tcPr>
          <w:p w:rsidR="00E535A0" w:rsidRDefault="00E535A0">
            <w:pPr>
              <w:spacing w:after="240" w:line="240" w:lineRule="auto"/>
              <w:jc w:val="both"/>
              <w:rPr>
                <w:rFonts w:ascii="Times New Roman" w:eastAsia="Times New Roman" w:hAnsi="Times New Roman" w:cs="Times New Roman"/>
                <w:noProof/>
                <w:color w:val="000000"/>
                <w:sz w:val="20"/>
                <w:szCs w:val="24"/>
                <w:lang w:eastAsia="en-GB"/>
              </w:rPr>
            </w:pPr>
          </w:p>
        </w:tc>
        <w:tc>
          <w:tcPr>
            <w:tcW w:w="1418"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58</w:t>
            </w:r>
          </w:p>
        </w:tc>
        <w:tc>
          <w:tcPr>
            <w:tcW w:w="1417" w:type="dxa"/>
            <w:shd w:val="clear" w:color="auto" w:fill="auto"/>
            <w:vAlign w:val="bottom"/>
            <w:hideMark/>
          </w:tcPr>
          <w:p w:rsidR="00E535A0" w:rsidRDefault="00C953F5">
            <w:pPr>
              <w:spacing w:after="240" w:line="240" w:lineRule="auto"/>
              <w:jc w:val="both"/>
              <w:rPr>
                <w:rFonts w:ascii="Times New Roman" w:eastAsia="Times New Roman" w:hAnsi="Times New Roman" w:cs="Times New Roman"/>
                <w:noProof/>
                <w:color w:val="000000"/>
                <w:sz w:val="20"/>
                <w:szCs w:val="24"/>
                <w:lang w:eastAsia="en-GB"/>
              </w:rPr>
            </w:pPr>
            <w:r>
              <w:rPr>
                <w:rFonts w:ascii="Times New Roman" w:eastAsia="Times New Roman" w:hAnsi="Times New Roman" w:cs="Times New Roman"/>
                <w:noProof/>
                <w:color w:val="000000"/>
                <w:sz w:val="20"/>
                <w:szCs w:val="24"/>
                <w:lang w:eastAsia="en-GB"/>
              </w:rPr>
              <w:t>10.30%</w:t>
            </w:r>
          </w:p>
        </w:tc>
      </w:tr>
    </w:tbl>
    <w:p w:rsidR="00E535A0" w:rsidRDefault="00C953F5">
      <w:pPr>
        <w:autoSpaceDE w:val="0"/>
        <w:autoSpaceDN w:val="0"/>
        <w:adjustRightInd w:val="0"/>
        <w:spacing w:after="240" w:line="240" w:lineRule="auto"/>
        <w:jc w:val="both"/>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Source: European Commission</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Euratom promote the development of European research careers and contribute to make Europe more attractive to the best researchers?</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Knowledge creation and </w:t>
      </w:r>
      <w:r>
        <w:rPr>
          <w:rFonts w:ascii="Times New Roman" w:hAnsi="Times New Roman" w:cs="Times New Roman"/>
          <w:noProof/>
          <w:sz w:val="24"/>
          <w:szCs w:val="24"/>
        </w:rPr>
        <w:t>competence building are at the heart of the Euratom research and training programme since its origin (Euratom Treaty, Article 4.1). Effective transfer of knowledge, skills and competences from the current generation of experts to the next is indispensable,</w:t>
      </w:r>
      <w:r>
        <w:rPr>
          <w:rFonts w:ascii="Times New Roman" w:hAnsi="Times New Roman" w:cs="Times New Roman"/>
          <w:noProof/>
          <w:sz w:val="24"/>
          <w:szCs w:val="24"/>
        </w:rPr>
        <w:t xml:space="preserve"> but the recruitment of young talent is increasingly difficult across the full spectrum of scientific disciplines. This has not been helped by the decline in the nuclear sectors in several Member States. Ironically, even these Member States will still requ</w:t>
      </w:r>
      <w:r>
        <w:rPr>
          <w:rFonts w:ascii="Times New Roman" w:hAnsi="Times New Roman" w:cs="Times New Roman"/>
          <w:noProof/>
          <w:sz w:val="24"/>
          <w:szCs w:val="24"/>
        </w:rPr>
        <w:t>ire expertise for many years to come, e.g. in the areas of decommissioning and waste management, and must continue to ensure high levels of safety across the sector as a whole. The Euratom programme has been very much aware of these issues, in particular i</w:t>
      </w:r>
      <w:r>
        <w:rPr>
          <w:rFonts w:ascii="Times New Roman" w:hAnsi="Times New Roman" w:cs="Times New Roman"/>
          <w:noProof/>
          <w:sz w:val="24"/>
          <w:szCs w:val="24"/>
        </w:rPr>
        <w:t>n the fission disciplines, and has targeted a number of projects in key areas.</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p>
    <w:p w:rsidR="00E535A0" w:rsidRDefault="00C953F5">
      <w:pPr>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Goal-Orientated Training (GOT) programme and researcher fellowships funded by Euratom have successfully contributed to supplying fusion research with urgentl</w:t>
      </w:r>
      <w:r>
        <w:rPr>
          <w:rFonts w:ascii="Times New Roman" w:hAnsi="Times New Roman" w:cs="Times New Roman"/>
          <w:noProof/>
          <w:color w:val="000000"/>
          <w:sz w:val="24"/>
          <w:szCs w:val="24"/>
        </w:rPr>
        <w:t>y needed new fusion engineers (160) and researchers (24). Fusion research depends heavily on a transnational pool of skills and expertise. The European programme has operated a Mobility Agreement since 1983, facilitating movement of researchers across Euro</w:t>
      </w:r>
      <w:r>
        <w:rPr>
          <w:rFonts w:ascii="Times New Roman" w:hAnsi="Times New Roman" w:cs="Times New Roman"/>
          <w:noProof/>
          <w:color w:val="000000"/>
          <w:sz w:val="24"/>
          <w:szCs w:val="24"/>
        </w:rPr>
        <w:t xml:space="preserve">pe. In Euratom FP7, the number of researchers participating has generally increased from around 600 in 2006 to 1100 in 2013 (see graph 2 below). </w:t>
      </w:r>
    </w:p>
    <w:p w:rsidR="00E535A0" w:rsidRDefault="00C953F5">
      <w:pPr>
        <w:widowControl w:val="0"/>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de-DE" w:eastAsia="de-DE"/>
        </w:rPr>
        <w:drawing>
          <wp:inline distT="0" distB="0" distL="0" distR="0" wp14:anchorId="43552D4E" wp14:editId="35B7E234">
            <wp:extent cx="3566984" cy="2364260"/>
            <wp:effectExtent l="0" t="0" r="14605" b="1714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535A0" w:rsidRDefault="00C953F5">
      <w:pPr>
        <w:widowControl w:val="0"/>
        <w:autoSpaceDE w:val="0"/>
        <w:autoSpaceDN w:val="0"/>
        <w:adjustRightInd w:val="0"/>
        <w:spacing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Source: European Commission</w:t>
      </w:r>
    </w:p>
    <w:p w:rsidR="00E535A0" w:rsidRDefault="00C953F5">
      <w:pPr>
        <w:widowControl w:val="0"/>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noProof/>
          <w:sz w:val="24"/>
          <w:szCs w:val="24"/>
        </w:rPr>
        <w:t>JET has provided a key focus for mobility of scientists and European integration, operating as a truly international collaboration with participation from across the EU and beyond. During FP7, 958 scientists made visits to JET to undertake research, many o</w:t>
      </w:r>
      <w:r>
        <w:rPr>
          <w:rFonts w:ascii="Times New Roman" w:hAnsi="Times New Roman" w:cs="Times New Roman"/>
          <w:noProof/>
          <w:sz w:val="24"/>
          <w:szCs w:val="24"/>
        </w:rPr>
        <w:t>f these visiting more than once.  This collective use of JET allowed scientists to participate based solely on the quality of their experimental proposals, and facilitated access to the world’s leading fusion experiment by all European fusion labs and inst</w:t>
      </w:r>
      <w:r>
        <w:rPr>
          <w:rFonts w:ascii="Times New Roman" w:hAnsi="Times New Roman" w:cs="Times New Roman"/>
          <w:noProof/>
          <w:sz w:val="24"/>
          <w:szCs w:val="24"/>
        </w:rPr>
        <w:t xml:space="preserve">itutes without exception. </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Fission research</w:t>
      </w:r>
    </w:p>
    <w:p w:rsidR="00E535A0" w:rsidRDefault="00C953F5">
      <w:pPr>
        <w:widowControl w:val="0"/>
        <w:autoSpaceDE w:val="0"/>
        <w:autoSpaceDN w:val="0"/>
        <w:adjustRightInd w:val="0"/>
        <w:spacing w:after="24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In nuclear fission, </w:t>
      </w:r>
      <w:r>
        <w:rPr>
          <w:rFonts w:ascii="Times New Roman" w:hAnsi="Times New Roman" w:cs="Times New Roman"/>
          <w:noProof/>
          <w:color w:val="000000"/>
          <w:sz w:val="24"/>
          <w:szCs w:val="24"/>
        </w:rPr>
        <w:t xml:space="preserve">73 completed projects (out of 134 in total) involved 520 PhD students (see table 3 below), of which 33% were female. This indicates that on average, each project supported more than seven PhD </w:t>
      </w:r>
      <w:r>
        <w:rPr>
          <w:rFonts w:ascii="Times New Roman" w:hAnsi="Times New Roman" w:cs="Times New Roman"/>
          <w:noProof/>
          <w:color w:val="000000"/>
          <w:sz w:val="24"/>
          <w:szCs w:val="24"/>
        </w:rPr>
        <w:t xml:space="preserve">students. </w:t>
      </w:r>
    </w:p>
    <w:tbl>
      <w:tblPr>
        <w:tblStyle w:val="TableGrid7"/>
        <w:tblW w:w="0" w:type="auto"/>
        <w:jc w:val="center"/>
        <w:tblLook w:val="04A0" w:firstRow="1" w:lastRow="0" w:firstColumn="1" w:lastColumn="0" w:noHBand="0" w:noVBand="1"/>
      </w:tblPr>
      <w:tblGrid>
        <w:gridCol w:w="2660"/>
        <w:gridCol w:w="1417"/>
      </w:tblGrid>
      <w:tr w:rsidR="00E535A0">
        <w:trPr>
          <w:jc w:val="center"/>
        </w:trPr>
        <w:tc>
          <w:tcPr>
            <w:tcW w:w="4077" w:type="dxa"/>
            <w:gridSpan w:val="2"/>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Table 3</w:t>
            </w:r>
          </w:p>
        </w:tc>
      </w:tr>
      <w:tr w:rsidR="00E535A0">
        <w:trPr>
          <w:jc w:val="center"/>
        </w:trPr>
        <w:tc>
          <w:tcPr>
            <w:tcW w:w="4077" w:type="dxa"/>
            <w:gridSpan w:val="2"/>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Number of PhD students in nuclear fission and radiation protection participating in Euratom FP7 projects</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t>Management of Ultimate Radioactive Waste</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95</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t>Reactor Systems</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176</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eastAsia="en-GB"/>
              </w:rPr>
              <w:t>Radiation Protection</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68</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Infrastructures</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54</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Human Resources and</w:t>
            </w:r>
            <w:r>
              <w:rPr>
                <w:rFonts w:ascii="Times New Roman" w:hAnsi="Times New Roman" w:cs="Times New Roman"/>
                <w:noProof/>
                <w:color w:val="000000"/>
                <w:sz w:val="24"/>
                <w:szCs w:val="24"/>
                <w:lang w:eastAsia="en-GB"/>
              </w:rPr>
              <w:t xml:space="preserve"> training</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44</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Cross-Cutting Actions</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54</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Cooperation with 3rd countries</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29</w:t>
            </w:r>
          </w:p>
        </w:tc>
      </w:tr>
      <w:tr w:rsidR="00E535A0">
        <w:trPr>
          <w:jc w:val="center"/>
        </w:trPr>
        <w:tc>
          <w:tcPr>
            <w:tcW w:w="2660" w:type="dxa"/>
            <w:vAlign w:val="center"/>
          </w:tcPr>
          <w:p w:rsidR="00E535A0" w:rsidRDefault="00C953F5">
            <w:pPr>
              <w:widowControl w:val="0"/>
              <w:autoSpaceDE w:val="0"/>
              <w:autoSpaceDN w:val="0"/>
              <w:adjustRightInd w:val="0"/>
              <w:spacing w:after="240"/>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Total</w:t>
            </w:r>
          </w:p>
        </w:tc>
        <w:tc>
          <w:tcPr>
            <w:tcW w:w="1417" w:type="dxa"/>
            <w:vAlign w:val="center"/>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520</w:t>
            </w:r>
          </w:p>
        </w:tc>
      </w:tr>
    </w:tbl>
    <w:p w:rsidR="00E535A0" w:rsidRDefault="00C953F5">
      <w:pPr>
        <w:widowControl w:val="0"/>
        <w:autoSpaceDE w:val="0"/>
        <w:autoSpaceDN w:val="0"/>
        <w:adjustRightInd w:val="0"/>
        <w:spacing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Source: European Commission</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Euratom provide the knowledge base needed to support key Community policies?</w:t>
      </w:r>
    </w:p>
    <w:p w:rsidR="00E535A0" w:rsidRDefault="00C953F5">
      <w:pPr>
        <w:autoSpaceDE w:val="0"/>
        <w:autoSpaceDN w:val="0"/>
        <w:adjustRightInd w:val="0"/>
        <w:spacing w:after="24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Activities supported under Euratom FP7 have reinforced EU energy policy by contributing to the triangle of EU energy and climate policy objectives: sustainability, security of supply and competitiveness. It underpins the EU '20-20-20-10 targets' for 2020, </w:t>
      </w:r>
      <w:r>
        <w:rPr>
          <w:rFonts w:ascii="Times New Roman" w:hAnsi="Times New Roman" w:cs="Times New Roman"/>
          <w:noProof/>
          <w:sz w:val="24"/>
          <w:szCs w:val="24"/>
        </w:rPr>
        <w:t>the new set of targets for 2030 and the EU Energy Roadmap 2050 which calls for an almost totally decarbonised European energy system. In addition, Euratom supported structuring of stakeholders at European level and facilitating the definition of common obj</w:t>
      </w:r>
      <w:r>
        <w:rPr>
          <w:rFonts w:ascii="Times New Roman" w:hAnsi="Times New Roman" w:cs="Times New Roman"/>
          <w:noProof/>
          <w:sz w:val="24"/>
          <w:szCs w:val="24"/>
        </w:rPr>
        <w:t xml:space="preserve">ectives and Strategic Research Agendas that have become the basis for European priority-setting and also influence national R&amp;I agendas. </w:t>
      </w:r>
      <w:r>
        <w:rPr>
          <w:rFonts w:ascii="Times New Roman" w:eastAsia="Calibri" w:hAnsi="Times New Roman" w:cs="Times New Roman"/>
          <w:noProof/>
          <w:sz w:val="24"/>
          <w:szCs w:val="24"/>
        </w:rPr>
        <w:t>Policy impact is difficult to estimate for participants, as it is often only an indirect consequence of the project act</w:t>
      </w:r>
      <w:r>
        <w:rPr>
          <w:rFonts w:ascii="Times New Roman" w:eastAsia="Calibri" w:hAnsi="Times New Roman" w:cs="Times New Roman"/>
          <w:noProof/>
          <w:sz w:val="24"/>
          <w:szCs w:val="24"/>
        </w:rPr>
        <w:t>ivities and is not easily traceable unless a proper follow up is made (which is often not the case). According to the survey of project coordinators carried out regarding Euratom FP6 and FP7 fission projects, in 63% of the projects the research had impacts</w:t>
      </w:r>
      <w:r>
        <w:rPr>
          <w:rFonts w:ascii="Times New Roman" w:eastAsia="Calibri" w:hAnsi="Times New Roman" w:cs="Times New Roman"/>
          <w:noProof/>
          <w:sz w:val="24"/>
          <w:szCs w:val="24"/>
        </w:rPr>
        <w:t xml:space="preserve"> on national or EU policy in nuclear safety, radiation protection or radioactive waste disposal.</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Euratom increase availability, coordination and access in relation to top-level European scientific and technological infrastructure?</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Euratom Programme had taken on high risk, high cost, long-term infrastructures beyond the reach of individual Member States, thereby </w:t>
      </w:r>
      <w:r>
        <w:rPr>
          <w:rFonts w:ascii="Times New Roman" w:hAnsi="Times New Roman" w:cs="Times New Roman"/>
          <w:bCs/>
          <w:noProof/>
          <w:sz w:val="24"/>
          <w:szCs w:val="24"/>
        </w:rPr>
        <w:t xml:space="preserve">sharing the risk and generating a breadth of scope and economies of scale </w:t>
      </w:r>
      <w:r>
        <w:rPr>
          <w:rFonts w:ascii="Times New Roman" w:hAnsi="Times New Roman" w:cs="Times New Roman"/>
          <w:noProof/>
          <w:sz w:val="24"/>
          <w:szCs w:val="24"/>
        </w:rPr>
        <w:t>that could not otherwise be achieved.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The scienti</w:t>
      </w:r>
      <w:r>
        <w:rPr>
          <w:rFonts w:ascii="Times New Roman" w:hAnsi="Times New Roman" w:cs="Times New Roman"/>
          <w:bCs/>
          <w:noProof/>
          <w:sz w:val="24"/>
          <w:szCs w:val="24"/>
        </w:rPr>
        <w:t xml:space="preserve">fic and technological feasibility of fusion </w:t>
      </w:r>
      <w:r>
        <w:rPr>
          <w:rFonts w:ascii="Times New Roman" w:hAnsi="Times New Roman" w:cs="Times New Roman"/>
          <w:noProof/>
          <w:sz w:val="24"/>
          <w:szCs w:val="24"/>
        </w:rPr>
        <w:t>has to be demonstrated at very large scale (ITER) and cannot be broken down into smaller projects that could be handled at national level. Only by pooling financial resources and sharing risk with six internation</w:t>
      </w:r>
      <w:r>
        <w:rPr>
          <w:rFonts w:ascii="Times New Roman" w:hAnsi="Times New Roman" w:cs="Times New Roman"/>
          <w:noProof/>
          <w:sz w:val="24"/>
          <w:szCs w:val="24"/>
        </w:rPr>
        <w:t>al partners will Europe be in a position to prove the feasibility of fusion as an energy source.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Another example is JET, which is the largest fusion device currently in operation worldwide and the closest in design to ITER. </w:t>
      </w:r>
      <w:r>
        <w:rPr>
          <w:rFonts w:ascii="Times New Roman" w:hAnsi="Times New Roman" w:cs="Times New Roman"/>
          <w:noProof/>
          <w:sz w:val="24"/>
          <w:szCs w:val="24"/>
        </w:rPr>
        <w:t>The total expenditure for constr</w:t>
      </w:r>
      <w:r>
        <w:rPr>
          <w:rFonts w:ascii="Times New Roman" w:hAnsi="Times New Roman" w:cs="Times New Roman"/>
          <w:noProof/>
          <w:sz w:val="24"/>
          <w:szCs w:val="24"/>
        </w:rPr>
        <w:t>uction, upgrade and exploitation of this European facility during the period 1978-2014 amounts to ca. €2 billion. The contribution of JET to the development of fusion cannot be underestimated: (a) it is the only current fusion device which can operate with</w:t>
      </w:r>
      <w:r>
        <w:rPr>
          <w:rFonts w:ascii="Times New Roman" w:hAnsi="Times New Roman" w:cs="Times New Roman"/>
          <w:noProof/>
          <w:sz w:val="24"/>
          <w:szCs w:val="24"/>
        </w:rPr>
        <w:t xml:space="preserve"> the fuel mixture of genuine fusion reactors; (b) it holds all the records for peak and sustained production of controlled fusion power; (c) it is the most ITER-relevant machine for studies in preparation for ITER technology and operations; (d) it is the o</w:t>
      </w:r>
      <w:r>
        <w:rPr>
          <w:rFonts w:ascii="Times New Roman" w:hAnsi="Times New Roman" w:cs="Times New Roman"/>
          <w:noProof/>
          <w:sz w:val="24"/>
          <w:szCs w:val="24"/>
        </w:rPr>
        <w:t>nly present fusion device in which the essential fusion technology of remote handling has been developed and used for major interventions; (e) it is the most useful experiment for the training of future operational staff for ITER.</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The High Performance Comp</w:t>
      </w:r>
      <w:r>
        <w:rPr>
          <w:rFonts w:ascii="Times New Roman" w:hAnsi="Times New Roman" w:cs="Times New Roman"/>
          <w:bCs/>
          <w:noProof/>
          <w:sz w:val="24"/>
          <w:szCs w:val="24"/>
        </w:rPr>
        <w:t xml:space="preserve">uter for Fusion (HPC-FF) </w:t>
      </w:r>
      <w:r>
        <w:rPr>
          <w:rFonts w:ascii="Times New Roman" w:hAnsi="Times New Roman" w:cs="Times New Roman"/>
          <w:noProof/>
          <w:sz w:val="24"/>
          <w:szCs w:val="24"/>
        </w:rPr>
        <w:t>was an invaluable new tool for the fusion programme. Fusion modelling requires powerful computer resources; increasingly realistic simulations that are able to take into account the full ITER plasma will be essential for the safe a</w:t>
      </w:r>
      <w:r>
        <w:rPr>
          <w:rFonts w:ascii="Times New Roman" w:hAnsi="Times New Roman" w:cs="Times New Roman"/>
          <w:noProof/>
          <w:sz w:val="24"/>
          <w:szCs w:val="24"/>
        </w:rPr>
        <w:t>nd efficient operation of ITER. The HPC-FF computer, hosted and operated by the Jülich Supercomputing Centre at the Forschungszentrum Jülich, Germany, was among the 30 most powerful computers in the world. Euratom capital investment amounted to around €7.4</w:t>
      </w:r>
      <w:r>
        <w:rPr>
          <w:rFonts w:ascii="Times New Roman" w:hAnsi="Times New Roman" w:cs="Times New Roman"/>
          <w:noProof/>
          <w:sz w:val="24"/>
          <w:szCs w:val="24"/>
        </w:rPr>
        <w:t xml:space="preserve"> million, while the total budget including the capital investment and exploitation over the four years was around €16.8 million, with contributions from the entire European fusion community.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nuclear fission, Euratom was essentially directed at facilitat</w:t>
      </w:r>
      <w:r>
        <w:rPr>
          <w:rFonts w:ascii="Times New Roman" w:hAnsi="Times New Roman" w:cs="Times New Roman"/>
          <w:noProof/>
          <w:sz w:val="24"/>
          <w:szCs w:val="24"/>
        </w:rPr>
        <w:t xml:space="preserve">ing and supporting transnational access to infrastructures, through traditional Euratom collaborative research grants and some more dedicated Euratom activities (Transnational Access to Large Infrastructures - TALI). For example: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ACTINET-I3 Network ai</w:t>
      </w:r>
      <w:r>
        <w:rPr>
          <w:rFonts w:ascii="Times New Roman" w:hAnsi="Times New Roman" w:cs="Times New Roman"/>
          <w:noProof/>
          <w:sz w:val="24"/>
          <w:szCs w:val="24"/>
        </w:rPr>
        <w:t>med at reinforcing the networking between existing European infrastructures in actinide sciences, and to facilitate their efficient use by the European scientific community. Five internal calls for proposals for Joint Research Programmes (JRP) were issued.</w:t>
      </w:r>
      <w:r>
        <w:rPr>
          <w:rFonts w:ascii="Times New Roman" w:hAnsi="Times New Roman" w:cs="Times New Roman"/>
          <w:noProof/>
          <w:sz w:val="24"/>
          <w:szCs w:val="24"/>
        </w:rPr>
        <w:t xml:space="preserve"> Out of 91 submitted proposals, 59 were selected and funded. A number of improvements and additions to the available instrumentation and infrastructure of the different pooled facilities were identified.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ERINDA co-ordination and support action aimed at</w:t>
      </w:r>
      <w:r>
        <w:rPr>
          <w:rFonts w:ascii="Times New Roman" w:hAnsi="Times New Roman" w:cs="Times New Roman"/>
          <w:noProof/>
          <w:sz w:val="24"/>
          <w:szCs w:val="24"/>
        </w:rPr>
        <w:t xml:space="preserve"> coordinating European efforts to exploit up-to-date neutron beam technology to gain nuclear data for advanced concepts of nuclear fission reactors and the transmutation of radioactive waste. The ERINDA consortium grouped all relevant neutron data faciliti</w:t>
      </w:r>
      <w:r>
        <w:rPr>
          <w:rFonts w:ascii="Times New Roman" w:hAnsi="Times New Roman" w:cs="Times New Roman"/>
          <w:noProof/>
          <w:sz w:val="24"/>
          <w:szCs w:val="24"/>
        </w:rPr>
        <w:t>es (time-of-flight facilities for fast neutrons, charged-particle accelerators and experimental nuclear reactors) in Europe that could offer part of their available beam time to the project. In three years, 3015 beam time hours have been delivered in 26 ex</w:t>
      </w:r>
      <w:r>
        <w:rPr>
          <w:rFonts w:ascii="Times New Roman" w:hAnsi="Times New Roman" w:cs="Times New Roman"/>
          <w:noProof/>
          <w:sz w:val="24"/>
          <w:szCs w:val="24"/>
        </w:rPr>
        <w:t>periments, in which 27 young researchers (within 6 years of obtaining their PhDs) participated.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EUFRAT coordination and support action, a transnational access programme at the Institute for Reference Materials and Measurements of the JRC (IRMM) aimed a</w:t>
      </w:r>
      <w:r>
        <w:rPr>
          <w:rFonts w:ascii="Times New Roman" w:hAnsi="Times New Roman" w:cs="Times New Roman"/>
          <w:noProof/>
          <w:sz w:val="24"/>
          <w:szCs w:val="24"/>
        </w:rPr>
        <w:t>t facilitating the access of outside users to the nuclear data facilities of its Unit Standards for Nuclear Safety, Security and Safeguards. The IRMM facilities delivered within 5985 hours of beam-time for a total of 33 experiments on nuclear data, develop</w:t>
      </w:r>
      <w:r>
        <w:rPr>
          <w:rFonts w:ascii="Times New Roman" w:hAnsi="Times New Roman" w:cs="Times New Roman"/>
          <w:noProof/>
          <w:sz w:val="24"/>
          <w:szCs w:val="24"/>
        </w:rPr>
        <w:t>ment of experimental set-ups and techniques needed for data measurements and advanced methods in nuclear technologies, safety and security.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forward looking investment was also made in buying access rights for Euratom researchers to the Jules Horowitz Rea</w:t>
      </w:r>
      <w:r>
        <w:rPr>
          <w:rFonts w:ascii="Times New Roman" w:hAnsi="Times New Roman" w:cs="Times New Roman"/>
          <w:noProof/>
          <w:sz w:val="24"/>
          <w:szCs w:val="24"/>
        </w:rPr>
        <w:t>ctor (JHR), a high performance materials testing research reactor under construction in France that should become operational by 2019.</w:t>
      </w:r>
    </w:p>
    <w:p w:rsidR="00E535A0" w:rsidRDefault="00E535A0">
      <w:pPr>
        <w:spacing w:after="240" w:line="240" w:lineRule="auto"/>
        <w:ind w:left="720"/>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much did Euratom contribute to job creation?</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Fission research</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Euratom programme has been contributing to job cre</w:t>
      </w:r>
      <w:r>
        <w:rPr>
          <w:rFonts w:ascii="Times New Roman" w:hAnsi="Times New Roman" w:cs="Times New Roman"/>
          <w:noProof/>
          <w:sz w:val="24"/>
          <w:szCs w:val="24"/>
        </w:rPr>
        <w:t>ation within the participating organisations directly by offering job opportunities for researchers and, indirectly, as a result of technological advancement and of training. In fission research, the completed FP7 projects (73) had a total workforce of 510</w:t>
      </w:r>
      <w:r>
        <w:rPr>
          <w:rFonts w:ascii="Times New Roman" w:hAnsi="Times New Roman" w:cs="Times New Roman"/>
          <w:noProof/>
          <w:sz w:val="24"/>
          <w:szCs w:val="24"/>
        </w:rPr>
        <w:t>0, of which 30% were female (see table 4 below). In some areas such as radiation protection, participation of female researchers is equal to male, while in waste management it reached 38%. During the implementation of these projects, an additional 354 rese</w:t>
      </w:r>
      <w:r>
        <w:rPr>
          <w:rFonts w:ascii="Times New Roman" w:hAnsi="Times New Roman" w:cs="Times New Roman"/>
          <w:noProof/>
          <w:sz w:val="24"/>
          <w:szCs w:val="24"/>
        </w:rPr>
        <w:t>archers had been recruited.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7"/>
        <w:tblW w:w="0" w:type="auto"/>
        <w:jc w:val="center"/>
        <w:tblLook w:val="04A0" w:firstRow="1" w:lastRow="0" w:firstColumn="1" w:lastColumn="0" w:noHBand="0" w:noVBand="1"/>
      </w:tblPr>
      <w:tblGrid>
        <w:gridCol w:w="2376"/>
        <w:gridCol w:w="1560"/>
        <w:gridCol w:w="2126"/>
        <w:gridCol w:w="1417"/>
      </w:tblGrid>
      <w:tr w:rsidR="00E535A0">
        <w:trPr>
          <w:trHeight w:val="525"/>
          <w:jc w:val="center"/>
        </w:trPr>
        <w:tc>
          <w:tcPr>
            <w:tcW w:w="7479" w:type="dxa"/>
            <w:gridSpan w:val="4"/>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Table 4</w:t>
            </w:r>
          </w:p>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Workfore  in fission projects supported by Euratom FP7</w:t>
            </w:r>
          </w:p>
          <w:p w:rsidR="00E535A0" w:rsidRDefault="00C953F5">
            <w:pPr>
              <w:spacing w:after="240"/>
              <w:jc w:val="both"/>
              <w:rPr>
                <w:rFonts w:ascii="Times New Roman" w:hAnsi="Times New Roman" w:cs="Times New Roman"/>
                <w:b/>
                <w:i/>
                <w:noProof/>
                <w:color w:val="000000"/>
                <w:sz w:val="24"/>
                <w:szCs w:val="24"/>
              </w:rPr>
            </w:pPr>
            <w:r>
              <w:rPr>
                <w:rFonts w:ascii="Times New Roman" w:hAnsi="Times New Roman" w:cs="Times New Roman"/>
                <w:b/>
                <w:i/>
                <w:noProof/>
                <w:color w:val="000000"/>
                <w:sz w:val="24"/>
                <w:szCs w:val="24"/>
              </w:rPr>
              <w:t>(73 projects completed by September 2015)</w:t>
            </w:r>
          </w:p>
        </w:tc>
      </w:tr>
      <w:tr w:rsidR="00E535A0">
        <w:trPr>
          <w:trHeight w:val="525"/>
          <w:jc w:val="center"/>
        </w:trPr>
        <w:tc>
          <w:tcPr>
            <w:tcW w:w="2376" w:type="dxa"/>
          </w:tcPr>
          <w:p w:rsidR="00E535A0" w:rsidRDefault="00E535A0">
            <w:pPr>
              <w:spacing w:after="240"/>
              <w:jc w:val="both"/>
              <w:rPr>
                <w:rFonts w:ascii="Times New Roman" w:hAnsi="Times New Roman" w:cs="Times New Roman"/>
                <w:b/>
                <w:noProof/>
                <w:color w:val="000000"/>
                <w:sz w:val="24"/>
                <w:szCs w:val="24"/>
              </w:rPr>
            </w:pPr>
          </w:p>
        </w:tc>
        <w:tc>
          <w:tcPr>
            <w:tcW w:w="1560" w:type="dxa"/>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Work force reported</w:t>
            </w:r>
          </w:p>
        </w:tc>
        <w:tc>
          <w:tcPr>
            <w:tcW w:w="2126" w:type="dxa"/>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Additional researchers recruited</w:t>
            </w:r>
          </w:p>
        </w:tc>
        <w:tc>
          <w:tcPr>
            <w:tcW w:w="1417" w:type="dxa"/>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Total workforce</w:t>
            </w:r>
          </w:p>
        </w:tc>
      </w:tr>
      <w:tr w:rsidR="00E535A0">
        <w:trPr>
          <w:trHeight w:val="525"/>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Management of Ultimate Radioactive Waste</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966</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47</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1013</w:t>
            </w:r>
          </w:p>
        </w:tc>
      </w:tr>
      <w:tr w:rsidR="00E535A0">
        <w:trPr>
          <w:trHeight w:val="300"/>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Reactor Systems</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1864</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62</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1926</w:t>
            </w:r>
          </w:p>
        </w:tc>
      </w:tr>
      <w:tr w:rsidR="00E535A0">
        <w:trPr>
          <w:trHeight w:val="300"/>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Radiation Protection</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497</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110</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607</w:t>
            </w:r>
          </w:p>
        </w:tc>
      </w:tr>
      <w:tr w:rsidR="00E535A0">
        <w:trPr>
          <w:trHeight w:val="300"/>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Infrastructures</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299</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4</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303</w:t>
            </w:r>
          </w:p>
        </w:tc>
      </w:tr>
      <w:tr w:rsidR="00E535A0">
        <w:trPr>
          <w:trHeight w:val="300"/>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Human Resources and training</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352</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10</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362</w:t>
            </w:r>
          </w:p>
        </w:tc>
      </w:tr>
      <w:tr w:rsidR="00E535A0">
        <w:trPr>
          <w:trHeight w:val="300"/>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Cross-Cutting Actions</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496</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84</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580</w:t>
            </w:r>
          </w:p>
        </w:tc>
      </w:tr>
      <w:tr w:rsidR="00E535A0">
        <w:trPr>
          <w:trHeight w:val="525"/>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Cooperation with Third Countries</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270</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37</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307</w:t>
            </w:r>
          </w:p>
        </w:tc>
      </w:tr>
      <w:tr w:rsidR="00E535A0">
        <w:trPr>
          <w:trHeight w:val="315"/>
          <w:jc w:val="center"/>
        </w:trPr>
        <w:tc>
          <w:tcPr>
            <w:tcW w:w="2376" w:type="dxa"/>
            <w:vAlign w:val="center"/>
            <w:hideMark/>
          </w:tcPr>
          <w:p w:rsidR="00E535A0" w:rsidRDefault="00C953F5">
            <w:pPr>
              <w:spacing w:after="240"/>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Total</w:t>
            </w:r>
          </w:p>
        </w:tc>
        <w:tc>
          <w:tcPr>
            <w:tcW w:w="1560"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4746</w:t>
            </w:r>
          </w:p>
        </w:tc>
        <w:tc>
          <w:tcPr>
            <w:tcW w:w="2126"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354</w:t>
            </w:r>
          </w:p>
        </w:tc>
        <w:tc>
          <w:tcPr>
            <w:tcW w:w="1417" w:type="dxa"/>
            <w:vAlign w:val="bottom"/>
          </w:tcPr>
          <w:p w:rsidR="00E535A0" w:rsidRDefault="00C953F5">
            <w:pPr>
              <w:spacing w:after="24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5100</w:t>
            </w:r>
          </w:p>
        </w:tc>
      </w:tr>
    </w:tbl>
    <w:p w:rsidR="00E535A0" w:rsidRDefault="00C953F5">
      <w:pPr>
        <w:widowControl w:val="0"/>
        <w:autoSpaceDE w:val="0"/>
        <w:autoSpaceDN w:val="0"/>
        <w:adjustRightInd w:val="0"/>
        <w:spacing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Source: European </w:t>
      </w:r>
      <w:r>
        <w:rPr>
          <w:rFonts w:ascii="Times New Roman" w:hAnsi="Times New Roman" w:cs="Times New Roman"/>
          <w:i/>
          <w:noProof/>
          <w:sz w:val="24"/>
          <w:szCs w:val="24"/>
        </w:rPr>
        <w:t>Commission</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Regarding broader impacts on growth and jobs, it is important to note that the Euratom fission programme is structured around technological research but also supports projects addressing issues of public concern. The economic impacts of the latt</w:t>
      </w:r>
      <w:r>
        <w:rPr>
          <w:rFonts w:ascii="Times New Roman" w:hAnsi="Times New Roman" w:cs="Times New Roman"/>
          <w:noProof/>
          <w:sz w:val="24"/>
          <w:szCs w:val="24"/>
        </w:rPr>
        <w:t xml:space="preserve">er are more difficult to assess, but are present nonetheless. In more technology-oriented activities, Euratom funding often plays the role of catalyst, and the limited budget means the focus is mainly on pre-commercial research. Specific patents have been </w:t>
      </w:r>
      <w:r>
        <w:rPr>
          <w:rFonts w:ascii="Times New Roman" w:hAnsi="Times New Roman" w:cs="Times New Roman"/>
          <w:noProof/>
          <w:sz w:val="24"/>
          <w:szCs w:val="24"/>
        </w:rPr>
        <w:t>produced only in projects that develop technology close to the market. From a survey, six projects (EVOL, JHR-CA, Genepi-Entb2, ARCHER, ACSEPT, CARBOWASTE) covering all main areas of R&amp;D in the fission programme, resulted in the filing of new patents. Abou</w:t>
      </w:r>
      <w:r>
        <w:rPr>
          <w:rFonts w:ascii="Times New Roman" w:hAnsi="Times New Roman" w:cs="Times New Roman"/>
          <w:noProof/>
          <w:sz w:val="24"/>
          <w:szCs w:val="24"/>
        </w:rPr>
        <w:t>t 46% of project coordinators expect improved competitiveness of one or more partners as a result of the project. New companies were also indicated in the case of SAPIER2 and NULIFE (though also true for SARNET2 and HLEG), and the project coordinators repo</w:t>
      </w:r>
      <w:r>
        <w:rPr>
          <w:rFonts w:ascii="Times New Roman" w:hAnsi="Times New Roman" w:cs="Times New Roman"/>
          <w:noProof/>
          <w:sz w:val="24"/>
          <w:szCs w:val="24"/>
        </w:rPr>
        <w:t>rted that new jobs were created in 21 projects (17%).</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br w:type="page"/>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Indirect economic impacts of Euratom research could be summarised as follows: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Euratom projects looking at material degradation and related safety issues support plant lifetime extension of currently </w:t>
      </w:r>
      <w:r>
        <w:rPr>
          <w:rFonts w:ascii="Times New Roman" w:hAnsi="Times New Roman" w:cs="Times New Roman"/>
          <w:noProof/>
          <w:sz w:val="24"/>
          <w:szCs w:val="24"/>
        </w:rPr>
        <w:t>operating light-water reactors. Similarly positive impacts stem from the implementation of sustainable waste management solutions. Projects in P&amp;T and other techniques to reduce waste (e.g. PUMA, LWR-DEPUTY) can lead to increased fuel utilisation or reduce</w:t>
      </w:r>
      <w:r>
        <w:rPr>
          <w:rFonts w:ascii="Times New Roman" w:hAnsi="Times New Roman" w:cs="Times New Roman"/>
          <w:noProof/>
          <w:sz w:val="24"/>
          <w:szCs w:val="24"/>
        </w:rPr>
        <w:t>d volumes / toxicity of final waste for disposal. In view of the high cost of geological repositories, the economic impacts are potentially enormous.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Reducing uncertainties enables nuclear plants to be run more efficiently. Projects such as EFNUDAT/ERINDA </w:t>
      </w:r>
      <w:r>
        <w:rPr>
          <w:rFonts w:ascii="Times New Roman" w:hAnsi="Times New Roman" w:cs="Times New Roman"/>
          <w:noProof/>
          <w:sz w:val="24"/>
          <w:szCs w:val="24"/>
        </w:rPr>
        <w:t>and ANDES contribute to improvements in neutron cross-section data for present and future reactors. Projects on fuel materials and related properties (e.g. F-BRIDGE) enable fuel performance to be optimised while maintaining safety margins. These improvemen</w:t>
      </w:r>
      <w:r>
        <w:rPr>
          <w:rFonts w:ascii="Times New Roman" w:hAnsi="Times New Roman" w:cs="Times New Roman"/>
          <w:noProof/>
          <w:sz w:val="24"/>
          <w:szCs w:val="24"/>
        </w:rPr>
        <w:t>ts lead directly to increased competitiveness of nuclear plants.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Euratom also supported major infrastructures and therefore contributes over the long-term to the positive economic impacts these can bring, not only locally but also to the EU as a whole. Onl</w:t>
      </w:r>
      <w:r>
        <w:rPr>
          <w:rFonts w:ascii="Times New Roman" w:hAnsi="Times New Roman" w:cs="Times New Roman"/>
          <w:noProof/>
          <w:sz w:val="24"/>
          <w:szCs w:val="24"/>
        </w:rPr>
        <w:t>y two 'fission' infrastructures of pan-European importance were identified and retained by ESFRI, and both have been supported through the Euratom programme. They are the Jules Horowitz Reactor, under construction at CEA Cadarache, which benefited from sup</w:t>
      </w:r>
      <w:r>
        <w:rPr>
          <w:rFonts w:ascii="Times New Roman" w:hAnsi="Times New Roman" w:cs="Times New Roman"/>
          <w:noProof/>
          <w:sz w:val="24"/>
          <w:szCs w:val="24"/>
        </w:rPr>
        <w:t xml:space="preserve">port through the JHR-CA and CP-JHR projects, and MYRRHA, to be constructed at SCK.CEN in Belgium, which had been supported by a number of FP6 and FP7 projects (EUROTRANS, CDT, MAX, FREYA).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Advanced nuclear systems using Generation-IV designs are not expec</w:t>
      </w:r>
      <w:r>
        <w:rPr>
          <w:rFonts w:ascii="Times New Roman" w:hAnsi="Times New Roman" w:cs="Times New Roman"/>
          <w:noProof/>
          <w:sz w:val="24"/>
          <w:szCs w:val="24"/>
        </w:rPr>
        <w:t>ted to be deployed at an industrial scale in Europe before 2040. However, development times for these types of technologies are long, and demonstrator reactors are already being built in other countries (China, Russia, India, Japan). The size of the potent</w:t>
      </w:r>
      <w:r>
        <w:rPr>
          <w:rFonts w:ascii="Times New Roman" w:hAnsi="Times New Roman" w:cs="Times New Roman"/>
          <w:noProof/>
          <w:sz w:val="24"/>
          <w:szCs w:val="24"/>
        </w:rPr>
        <w:t>ial market in this technology is huge, and it is critical for Europe is to remain a major player in the mid to long term. Euratom contributes by pooling know-how in a number of pre-conceptual design projects and by stimulation education and training in key</w:t>
      </w:r>
      <w:r>
        <w:rPr>
          <w:rFonts w:ascii="Times New Roman" w:hAnsi="Times New Roman" w:cs="Times New Roman"/>
          <w:noProof/>
          <w:sz w:val="24"/>
          <w:szCs w:val="24"/>
        </w:rPr>
        <w:t xml:space="preserve"> disciplines.</w:t>
      </w:r>
    </w:p>
    <w:p w:rsidR="00E535A0" w:rsidRDefault="00C953F5">
      <w:pPr>
        <w:spacing w:after="240" w:line="240" w:lineRule="auto"/>
        <w:jc w:val="both"/>
        <w:rPr>
          <w:rFonts w:ascii="Times New Roman" w:eastAsia="Calibri" w:hAnsi="Times New Roman" w:cs="Times New Roman"/>
          <w:iCs/>
          <w:noProof/>
          <w:sz w:val="24"/>
          <w:szCs w:val="24"/>
        </w:rPr>
      </w:pPr>
      <w:r>
        <w:rPr>
          <w:rFonts w:ascii="Times New Roman" w:eastAsia="Calibri" w:hAnsi="Times New Roman" w:cs="Times New Roman"/>
          <w:iCs/>
          <w:noProof/>
          <w:sz w:val="24"/>
          <w:szCs w:val="24"/>
        </w:rPr>
        <w:t xml:space="preserve">As Euratom supports nuclear research which in turn has impact on nuclear sector in general, it is important to look at the broad economic impacts of this sector as a whole. Nuclear energy generates important investments and therefore one has </w:t>
      </w:r>
      <w:r>
        <w:rPr>
          <w:rFonts w:ascii="Times New Roman" w:eastAsia="Calibri" w:hAnsi="Times New Roman" w:cs="Times New Roman"/>
          <w:iCs/>
          <w:noProof/>
          <w:sz w:val="24"/>
          <w:szCs w:val="24"/>
        </w:rPr>
        <w:t>to underline the socio</w:t>
      </w:r>
      <w:r>
        <w:rPr>
          <w:rFonts w:ascii="Times New Roman" w:eastAsia="Calibri" w:hAnsi="Times New Roman" w:cs="Times New Roman"/>
          <w:iCs/>
          <w:noProof/>
          <w:sz w:val="24"/>
          <w:szCs w:val="24"/>
        </w:rPr>
        <w:noBreakHyphen/>
        <w:t>economic role of nuclear energy to growth and jobs in the EU: 131 operating NPPs in 14 Member States; 28% of EU’s electricity supply; ~2/3 of EU low carbon electricity; four reactors under construction (FI, FR and SK); new reactors p</w:t>
      </w:r>
      <w:r>
        <w:rPr>
          <w:rFonts w:ascii="Times New Roman" w:eastAsia="Calibri" w:hAnsi="Times New Roman" w:cs="Times New Roman"/>
          <w:iCs/>
          <w:noProof/>
          <w:sz w:val="24"/>
          <w:szCs w:val="24"/>
        </w:rPr>
        <w:t>lanned in BG, CZ, FI, FR, HU, LT, PL, RO, SW and UK; more than 800 companies covering all the activities of power production and of the fuel cycle; about 900,000 jobs; and potential investments of €70 billion/year.</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European fusion rese</w:t>
      </w:r>
      <w:r>
        <w:rPr>
          <w:rFonts w:ascii="Times New Roman" w:hAnsi="Times New Roman" w:cs="Times New Roman"/>
          <w:noProof/>
          <w:sz w:val="24"/>
          <w:szCs w:val="24"/>
        </w:rPr>
        <w:t>arch laboratories supported by Euratom, the total workforce in 2014 was about 3318 (female accounted for 19%), including 2159 professionals (engineers and physicist) and 1159 support staff</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xml:space="preserve">. </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Turning to the EU investment in fusion, 75% of the EU funding fo</w:t>
      </w:r>
      <w:r>
        <w:rPr>
          <w:rFonts w:ascii="Times New Roman" w:eastAsia="Times New Roman" w:hAnsi="Times New Roman" w:cs="Times New Roman"/>
          <w:noProof/>
          <w:sz w:val="24"/>
          <w:szCs w:val="24"/>
        </w:rPr>
        <w:t>r ITER construction (i.e. around EUR 4.5 billion) is for components and activities that result in the creation of new knowledge and cutting-edge technology, offering European high-tech industries and SMEs an excellent opportunity for innovation. Over the p</w:t>
      </w:r>
      <w:r>
        <w:rPr>
          <w:rFonts w:ascii="Times New Roman" w:eastAsia="Times New Roman" w:hAnsi="Times New Roman" w:cs="Times New Roman"/>
          <w:noProof/>
          <w:sz w:val="24"/>
          <w:szCs w:val="24"/>
        </w:rPr>
        <w:t>eriod 2007-2020, F4E should spend EUR 6.6 billion (in 2008 values) on the construction of ITER. To date, more than EUR 3 billion has already been committed by F4E, resulting in more than 300 procurements and contracts with high-tech European companies in k</w:t>
      </w:r>
      <w:r>
        <w:rPr>
          <w:rFonts w:ascii="Times New Roman" w:eastAsia="Times New Roman" w:hAnsi="Times New Roman" w:cs="Times New Roman"/>
          <w:noProof/>
          <w:sz w:val="24"/>
          <w:szCs w:val="24"/>
        </w:rPr>
        <w:t>ey industrial areas (civil, mechanical, electrical, materials and nuclear engineering). In addition, around EUR 100 million has been committed on more technical and research-based work carried out by European research laboratories. F4E estimates that throu</w:t>
      </w:r>
      <w:r>
        <w:rPr>
          <w:rFonts w:ascii="Times New Roman" w:eastAsia="Times New Roman" w:hAnsi="Times New Roman" w:cs="Times New Roman"/>
          <w:noProof/>
          <w:sz w:val="24"/>
          <w:szCs w:val="24"/>
        </w:rPr>
        <w:t>gh all these contracts, industry is creating over 15,000 person-years of employment in Europe and will create many more during the remainder of ITER's construction phase. ITER work is more labour and knowledge intensive than conventional industrial manufac</w:t>
      </w:r>
      <w:r>
        <w:rPr>
          <w:rFonts w:ascii="Times New Roman" w:eastAsia="Times New Roman" w:hAnsi="Times New Roman" w:cs="Times New Roman"/>
          <w:noProof/>
          <w:sz w:val="24"/>
          <w:szCs w:val="24"/>
        </w:rPr>
        <w:t>turing owing to the high content of R&amp;D and engineering tasks. Thanks to its leadership in fusion research and the construction of ITER, Europe will be in a privileged position to reap the benefits of constructing and operating the first generation of fusi</w:t>
      </w:r>
      <w:r>
        <w:rPr>
          <w:rFonts w:ascii="Times New Roman" w:eastAsia="Times New Roman" w:hAnsi="Times New Roman" w:cs="Times New Roman"/>
          <w:noProof/>
          <w:sz w:val="24"/>
          <w:szCs w:val="24"/>
        </w:rPr>
        <w:t>on power plants in the future.</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do the results of Euratom contribute to the achievements of the new Commission's priorities?</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noProof/>
          <w:sz w:val="24"/>
          <w:szCs w:val="24"/>
        </w:rPr>
        <w:t>Establishing a Resilient Energy Union with a Forward-Looking Climate Change Policy is among the top priorities of the</w:t>
      </w:r>
      <w:r>
        <w:rPr>
          <w:rFonts w:ascii="Times New Roman" w:hAnsi="Times New Roman" w:cs="Times New Roman"/>
          <w:noProof/>
          <w:sz w:val="24"/>
          <w:szCs w:val="24"/>
        </w:rPr>
        <w:t xml:space="preserve"> new Commission. According to the Commission Communication on Energy Union (COM(2015)80), the EU must ensure that Member States respect the highest standards of nuclear safety, security, waste management and non-proliferation. The EU should also ensure tha</w:t>
      </w:r>
      <w:r>
        <w:rPr>
          <w:rFonts w:ascii="Times New Roman" w:hAnsi="Times New Roman" w:cs="Times New Roman"/>
          <w:noProof/>
          <w:sz w:val="24"/>
          <w:szCs w:val="24"/>
        </w:rPr>
        <w:t>t it maintains technological leadership in the nuclear domain, including through ITER, so as not to increase energy and technology dependence. Euratom FP7 projects have been contributing to these priorities by enhancing safety of nuclear technologies, fund</w:t>
      </w:r>
      <w:r>
        <w:rPr>
          <w:rFonts w:ascii="Times New Roman" w:hAnsi="Times New Roman" w:cs="Times New Roman"/>
          <w:noProof/>
          <w:sz w:val="24"/>
          <w:szCs w:val="24"/>
        </w:rPr>
        <w:t>ing state-of-the-art research for a new generation of fission reactors and for preparation of ITER. In the long term, fusion energy could provide a safe and abundant energy source. In the near term the fusion programme is answering to the Commission's prio</w:t>
      </w:r>
      <w:r>
        <w:rPr>
          <w:rFonts w:ascii="Times New Roman" w:hAnsi="Times New Roman" w:cs="Times New Roman"/>
          <w:noProof/>
          <w:sz w:val="24"/>
          <w:szCs w:val="24"/>
        </w:rPr>
        <w:t xml:space="preserve">rity of innovation through enhanced technology spin-off to other sectors and through technology transfer to industry, which will enhance competitiveness for growth and jobs. </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To what extent was Euratom coherent with other EU actions (CIP, ESF) and EU </w:t>
      </w:r>
      <w:r>
        <w:rPr>
          <w:rFonts w:ascii="Times New Roman" w:hAnsi="Times New Roman" w:cs="Times New Roman"/>
          <w:b/>
          <w:noProof/>
          <w:sz w:val="24"/>
          <w:szCs w:val="24"/>
        </w:rPr>
        <w:t>policy?</w:t>
      </w:r>
    </w:p>
    <w:p w:rsidR="00E535A0" w:rsidRDefault="00C953F5">
      <w:pPr>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Euratom FP7 was the main instrument for implementing the nuclear part of technology pillar of the EU's energy and climate policy – the Strategic Energy Technology (SET) Plan. By addressing key technological bottlenecks, Euratom FP7 contributes dire</w:t>
      </w:r>
      <w:r>
        <w:rPr>
          <w:rFonts w:ascii="Times New Roman" w:hAnsi="Times New Roman" w:cs="Times New Roman"/>
          <w:noProof/>
          <w:sz w:val="24"/>
          <w:szCs w:val="24"/>
        </w:rPr>
        <w:t>ctly to the EU's energy and climate policy's targets in the long term. Equally important, Euratom research in the fission area supported EU policy objectives concerning nuclear safety, radiation protection and waste management. In this respect research con</w:t>
      </w:r>
      <w:r>
        <w:rPr>
          <w:rFonts w:ascii="Times New Roman" w:hAnsi="Times New Roman" w:cs="Times New Roman"/>
          <w:noProof/>
          <w:sz w:val="24"/>
          <w:szCs w:val="24"/>
        </w:rPr>
        <w:t>tributes to the implementation of European law in these areas, such as Council Directive 2009/71/Euratom of 25 June 2009 establishing a Community framework for the nuclear safety of nuclear installations (and subsequent amended Directive), the Council Dire</w:t>
      </w:r>
      <w:r>
        <w:rPr>
          <w:rFonts w:ascii="Times New Roman" w:hAnsi="Times New Roman" w:cs="Times New Roman"/>
          <w:noProof/>
          <w:sz w:val="24"/>
          <w:szCs w:val="24"/>
        </w:rPr>
        <w:t xml:space="preserve">ctive (2011/70/Euratom) of 19 July 2011 establishing a Community framework for the responsible and safe management of spent fuel and radioactive waste, and the Council Directive 2013/59/Euratom laying down basic safety standards for protection against the </w:t>
      </w:r>
      <w:r>
        <w:rPr>
          <w:rFonts w:ascii="Times New Roman" w:hAnsi="Times New Roman" w:cs="Times New Roman"/>
          <w:noProof/>
          <w:sz w:val="24"/>
          <w:szCs w:val="24"/>
        </w:rPr>
        <w:t>dangers arising from exposure to ionising radiation.</w:t>
      </w:r>
    </w:p>
    <w:p w:rsidR="00E535A0" w:rsidRDefault="00E535A0">
      <w:pPr>
        <w:autoSpaceDE w:val="0"/>
        <w:autoSpaceDN w:val="0"/>
        <w:adjustRightInd w:val="0"/>
        <w:spacing w:after="240" w:line="240" w:lineRule="auto"/>
        <w:jc w:val="both"/>
        <w:rPr>
          <w:rFonts w:ascii="Times New Roman" w:hAnsi="Times New Roman" w:cs="Times New Roman"/>
          <w:b/>
          <w:noProof/>
          <w:sz w:val="24"/>
          <w:szCs w:val="24"/>
        </w:rPr>
      </w:pP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What was the added value of Euratom when compared with national Energy research and innovation programmes?</w:t>
      </w:r>
    </w:p>
    <w:p w:rsidR="00E535A0" w:rsidRDefault="00C953F5">
      <w:pPr>
        <w:autoSpaceDE w:val="0"/>
        <w:autoSpaceDN w:val="0"/>
        <w:adjustRightInd w:val="0"/>
        <w:spacing w:after="24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Euratom programme mobilised a wider pool of excellence, competencies and </w:t>
      </w:r>
      <w:r>
        <w:rPr>
          <w:rFonts w:ascii="Times New Roman" w:hAnsi="Times New Roman" w:cs="Times New Roman"/>
          <w:noProof/>
          <w:color w:val="000000"/>
          <w:sz w:val="24"/>
          <w:szCs w:val="24"/>
        </w:rPr>
        <w:t>multi-disciplinarity than is available at national level. T</w:t>
      </w:r>
      <w:r>
        <w:rPr>
          <w:rFonts w:ascii="Times New Roman" w:hAnsi="Times New Roman" w:cs="Times New Roman"/>
          <w:bCs/>
          <w:noProof/>
          <w:sz w:val="24"/>
          <w:szCs w:val="24"/>
        </w:rPr>
        <w:t xml:space="preserve">he achievements of the fusion programme, </w:t>
      </w:r>
      <w:r>
        <w:rPr>
          <w:rFonts w:ascii="Times New Roman" w:hAnsi="Times New Roman" w:cs="Times New Roman"/>
          <w:noProof/>
          <w:sz w:val="24"/>
          <w:szCs w:val="24"/>
        </w:rPr>
        <w:t>in particular resulting from joint exploitation of JET, rely on the collective endeavours of researchers and engineers from across Europe (about 350 persons</w:t>
      </w:r>
      <w:r>
        <w:rPr>
          <w:rFonts w:ascii="Times New Roman" w:hAnsi="Times New Roman" w:cs="Times New Roman"/>
          <w:noProof/>
          <w:sz w:val="24"/>
          <w:szCs w:val="24"/>
        </w:rPr>
        <w:t xml:space="preserve"> per year), supported by Euratom funding for mobility. Euratom finances two mobility schemes, one used generally for short visits to JET and between Associations (ca. EUR 5 million per year) and the other aimed mainly at longer-term participation in the co</w:t>
      </w:r>
      <w:r>
        <w:rPr>
          <w:rFonts w:ascii="Times New Roman" w:hAnsi="Times New Roman" w:cs="Times New Roman"/>
          <w:noProof/>
          <w:sz w:val="24"/>
          <w:szCs w:val="24"/>
        </w:rPr>
        <w:t>llective exploitation of JET (up to 4 years).</w:t>
      </w:r>
    </w:p>
    <w:p w:rsidR="00E535A0" w:rsidRDefault="00C953F5">
      <w:pPr>
        <w:autoSpaceDE w:val="0"/>
        <w:autoSpaceDN w:val="0"/>
        <w:adjustRightInd w:val="0"/>
        <w:spacing w:after="24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fission area, projects such as STAR, DoReMi and SARNET-2 ensured that competences in key technical sectors can be retained in Europe, requiring the bringing together of expertise from many Member States,</w:t>
      </w:r>
      <w:r>
        <w:rPr>
          <w:rFonts w:ascii="Times New Roman" w:hAnsi="Times New Roman" w:cs="Times New Roman"/>
          <w:noProof/>
          <w:color w:val="000000"/>
          <w:sz w:val="24"/>
          <w:szCs w:val="24"/>
        </w:rPr>
        <w:t xml:space="preserve"> and the establishing of legal entities to ensure sustainability in the long term.</w:t>
      </w: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The Euratom programme </w:t>
      </w:r>
      <w:r>
        <w:rPr>
          <w:rFonts w:ascii="Times New Roman" w:hAnsi="Times New Roman" w:cs="Times New Roman"/>
          <w:noProof/>
          <w:sz w:val="24"/>
          <w:szCs w:val="24"/>
        </w:rPr>
        <w:t xml:space="preserve">helped to generate an </w:t>
      </w:r>
      <w:r>
        <w:rPr>
          <w:rFonts w:ascii="Times New Roman" w:hAnsi="Times New Roman" w:cs="Times New Roman"/>
          <w:bCs/>
          <w:noProof/>
          <w:sz w:val="24"/>
          <w:szCs w:val="24"/>
        </w:rPr>
        <w:t xml:space="preserve">optimum programme of activities and maximise knowledge sharing </w:t>
      </w:r>
      <w:r>
        <w:rPr>
          <w:rFonts w:ascii="Times New Roman" w:hAnsi="Times New Roman" w:cs="Times New Roman"/>
          <w:noProof/>
          <w:sz w:val="24"/>
          <w:szCs w:val="24"/>
        </w:rPr>
        <w:t>and information dissemination, lowering the overall costs of achie</w:t>
      </w:r>
      <w:r>
        <w:rPr>
          <w:rFonts w:ascii="Times New Roman" w:hAnsi="Times New Roman" w:cs="Times New Roman"/>
          <w:noProof/>
          <w:sz w:val="24"/>
          <w:szCs w:val="24"/>
        </w:rPr>
        <w:t>ving a given objective – for example the E</w:t>
      </w:r>
      <w:r>
        <w:rPr>
          <w:rFonts w:ascii="Times New Roman" w:hAnsi="Times New Roman" w:cs="Times New Roman"/>
          <w:bCs/>
          <w:noProof/>
          <w:sz w:val="24"/>
          <w:szCs w:val="24"/>
        </w:rPr>
        <w:t>uratom projects in the field of Partitioning &amp;Transmutation</w:t>
      </w:r>
      <w:r>
        <w:rPr>
          <w:rFonts w:ascii="Times New Roman" w:hAnsi="Times New Roman" w:cs="Times New Roman"/>
          <w:noProof/>
          <w:sz w:val="24"/>
          <w:szCs w:val="24"/>
        </w:rPr>
        <w:t xml:space="preserve"> represent a comprehensive and integrated programme of research on ADS</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rPr>
        <w:t xml:space="preserve"> and related lead-cooled technology. This programme is also notable for the involvem</w:t>
      </w:r>
      <w:r>
        <w:rPr>
          <w:rFonts w:ascii="Times New Roman" w:hAnsi="Times New Roman" w:cs="Times New Roman"/>
          <w:noProof/>
          <w:sz w:val="24"/>
          <w:szCs w:val="24"/>
        </w:rPr>
        <w:t>ent of large numbers of PhDs (about 170) and post-docs and the interaction with other research in Generation-IV systems. All this, including the decision by the Belgian Government to construct MYRRHA</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 would not have been possible without Euratom involveme</w:t>
      </w:r>
      <w:r>
        <w:rPr>
          <w:rFonts w:ascii="Times New Roman" w:hAnsi="Times New Roman" w:cs="Times New Roman"/>
          <w:noProof/>
          <w:sz w:val="24"/>
          <w:szCs w:val="24"/>
        </w:rPr>
        <w:t xml:space="preserve">nt </w:t>
      </w: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Euratom </w:t>
      </w:r>
      <w:r>
        <w:rPr>
          <w:rFonts w:ascii="Times New Roman" w:hAnsi="Times New Roman" w:cs="Times New Roman"/>
          <w:noProof/>
          <w:sz w:val="24"/>
          <w:szCs w:val="24"/>
        </w:rPr>
        <w:t xml:space="preserve">had a </w:t>
      </w:r>
      <w:r>
        <w:rPr>
          <w:rFonts w:ascii="Times New Roman" w:hAnsi="Times New Roman" w:cs="Times New Roman"/>
          <w:bCs/>
          <w:noProof/>
          <w:sz w:val="24"/>
          <w:szCs w:val="24"/>
        </w:rPr>
        <w:t>strong leverage effect on coordinating national efforts</w:t>
      </w:r>
      <w:r>
        <w:rPr>
          <w:rFonts w:ascii="Times New Roman" w:hAnsi="Times New Roman" w:cs="Times New Roman"/>
          <w:noProof/>
          <w:sz w:val="24"/>
          <w:szCs w:val="24"/>
        </w:rPr>
        <w:t xml:space="preserve">, through the use of funding instruments that promote the European Research Area, for example: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effects are well demonstrated in case of the </w:t>
      </w:r>
      <w:r>
        <w:rPr>
          <w:rFonts w:ascii="Times New Roman" w:hAnsi="Times New Roman" w:cs="Times New Roman"/>
          <w:bCs/>
          <w:noProof/>
          <w:sz w:val="24"/>
          <w:szCs w:val="24"/>
        </w:rPr>
        <w:t xml:space="preserve">European fusion programme </w:t>
      </w:r>
      <w:r>
        <w:rPr>
          <w:rFonts w:ascii="Times New Roman" w:hAnsi="Times New Roman" w:cs="Times New Roman"/>
          <w:noProof/>
          <w:sz w:val="24"/>
          <w:szCs w:val="24"/>
        </w:rPr>
        <w:t>where Eura</w:t>
      </w:r>
      <w:r>
        <w:rPr>
          <w:rFonts w:ascii="Times New Roman" w:hAnsi="Times New Roman" w:cs="Times New Roman"/>
          <w:noProof/>
          <w:sz w:val="24"/>
          <w:szCs w:val="24"/>
        </w:rPr>
        <w:t>tom contributes to the costs of national laboratories (ca. EUR 54 million per year): (a) national funding agencies accepted a limitation of their independence by allowing the scientific assessment of the programme and proposals for its evolution to be done</w:t>
      </w:r>
      <w:r>
        <w:rPr>
          <w:rFonts w:ascii="Times New Roman" w:hAnsi="Times New Roman" w:cs="Times New Roman"/>
          <w:noProof/>
          <w:sz w:val="24"/>
          <w:szCs w:val="24"/>
        </w:rPr>
        <w:t xml:space="preserve"> collectively by representatives of Euratom associated laboratories and Member States with strong input by the Commission; (b) all the most important fusion facilities have been built with financial support from Euratom, which requires that their operation</w:t>
      </w:r>
      <w:r>
        <w:rPr>
          <w:rFonts w:ascii="Times New Roman" w:hAnsi="Times New Roman" w:cs="Times New Roman"/>
          <w:noProof/>
          <w:sz w:val="24"/>
          <w:szCs w:val="24"/>
        </w:rPr>
        <w:t xml:space="preserve"> be open to researchers from all laboratories in Europe; (c) smaller laboratories can concentrate on a limited range of scientific topics or subsystems and still make important contributions while maintaining visibility; (d) in addition to formal training </w:t>
      </w:r>
      <w:r>
        <w:rPr>
          <w:rFonts w:ascii="Times New Roman" w:hAnsi="Times New Roman" w:cs="Times New Roman"/>
          <w:noProof/>
          <w:sz w:val="24"/>
          <w:szCs w:val="24"/>
        </w:rPr>
        <w:t>activities, the extensive exchanges of personnel between the national labs ensure a Europe-wide dissemination of expertise; (e) in some cases the management of the programme of these facilities is shared with the other participating labs.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Structuring effec</w:t>
      </w:r>
      <w:r>
        <w:rPr>
          <w:rFonts w:ascii="Times New Roman" w:hAnsi="Times New Roman" w:cs="Times New Roman"/>
          <w:bCs/>
          <w:noProof/>
          <w:sz w:val="24"/>
          <w:szCs w:val="24"/>
        </w:rPr>
        <w:t xml:space="preserve">ts of technology platforms in fission R&amp;D: </w:t>
      </w:r>
      <w:r>
        <w:rPr>
          <w:rFonts w:ascii="Times New Roman" w:hAnsi="Times New Roman" w:cs="Times New Roman"/>
          <w:noProof/>
          <w:sz w:val="24"/>
          <w:szCs w:val="24"/>
        </w:rPr>
        <w:t>All major stakeholders in fission and radiation protection research are now grouped in technical forums: SNETP, IGDTP and MELODI, thereby promoting strategic planning, sharing resources and even joint programming,</w:t>
      </w:r>
      <w:r>
        <w:rPr>
          <w:rFonts w:ascii="Times New Roman" w:hAnsi="Times New Roman" w:cs="Times New Roman"/>
          <w:noProof/>
          <w:sz w:val="24"/>
          <w:szCs w:val="24"/>
        </w:rPr>
        <w:t xml:space="preserve"> with a strong participation of industry in the two former forums.</w:t>
      </w:r>
    </w:p>
    <w:p w:rsidR="00E535A0" w:rsidRDefault="00C953F5">
      <w:pPr>
        <w:autoSpaceDE w:val="0"/>
        <w:autoSpaceDN w:val="0"/>
        <w:adjustRightInd w:val="0"/>
        <w:spacing w:after="240" w:line="240" w:lineRule="auto"/>
        <w:contextualSpacing/>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Euratom programme increased the willingness of research stakeholders to release capital for projects with particular importance for nuclear safety. The SARNET-2 project is an excellent </w:t>
      </w:r>
      <w:r>
        <w:rPr>
          <w:rFonts w:ascii="Times New Roman" w:hAnsi="Times New Roman" w:cs="Times New Roman"/>
          <w:bCs/>
          <w:noProof/>
          <w:sz w:val="24"/>
          <w:szCs w:val="24"/>
        </w:rPr>
        <w:t>example of the leverage effect of Euratom funding – the total budget was almost €39M but the Euratom contribution is just €5.75M (i.e. less than 15% of total costs). The project supported the efforts of a number of European R&amp;D organisations, including saf</w:t>
      </w:r>
      <w:r>
        <w:rPr>
          <w:rFonts w:ascii="Times New Roman" w:hAnsi="Times New Roman" w:cs="Times New Roman"/>
          <w:bCs/>
          <w:noProof/>
          <w:sz w:val="24"/>
          <w:szCs w:val="24"/>
        </w:rPr>
        <w:t>ety authorities, industry and universities, to network their research capacities in the area of severe reactor accidents, thus enhancing the safety of existing and future nuclear power plants. This Network of Excellence defined joint research programmes an</w:t>
      </w:r>
      <w:r>
        <w:rPr>
          <w:rFonts w:ascii="Times New Roman" w:hAnsi="Times New Roman" w:cs="Times New Roman"/>
          <w:bCs/>
          <w:noProof/>
          <w:sz w:val="24"/>
          <w:szCs w:val="24"/>
        </w:rPr>
        <w:t xml:space="preserve">d developed common computer tools and methodologies for safety assessment of nuclear power plants, and ultimately supported efforts for sustainable integration of the key R&amp;D organisations in this sector. </w:t>
      </w:r>
    </w:p>
    <w:p w:rsidR="00E535A0" w:rsidRDefault="00E535A0">
      <w:pPr>
        <w:autoSpaceDE w:val="0"/>
        <w:autoSpaceDN w:val="0"/>
        <w:adjustRightInd w:val="0"/>
        <w:spacing w:after="240" w:line="240" w:lineRule="auto"/>
        <w:ind w:left="1080"/>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Nuclear research in Horizon 2020: continuity or e</w:t>
      </w:r>
      <w:r>
        <w:rPr>
          <w:rFonts w:ascii="Times New Roman" w:hAnsi="Times New Roman" w:cs="Times New Roman"/>
          <w:b/>
          <w:noProof/>
          <w:sz w:val="24"/>
          <w:szCs w:val="24"/>
        </w:rPr>
        <w:t>volution?</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Fusion research</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fusion research the programme has continued to evolve. Under Horizon 2020, Euratom support is focussed on the priorities of the fusion roadmap. The management of the programme has been revised with the Contracts of Association </w:t>
      </w:r>
      <w:r>
        <w:rPr>
          <w:rFonts w:ascii="Times New Roman" w:hAnsi="Times New Roman" w:cs="Times New Roman"/>
          <w:noProof/>
          <w:sz w:val="24"/>
          <w:szCs w:val="24"/>
        </w:rPr>
        <w:t>and EFDA agreement being replaced by a single Grant Agreement for a Joint European Programme in fusion research. All the fusion laboratories in Member States have come together to form the EUROfusion Consortium. The description of work defines the activiti</w:t>
      </w:r>
      <w:r>
        <w:rPr>
          <w:rFonts w:ascii="Times New Roman" w:hAnsi="Times New Roman" w:cs="Times New Roman"/>
          <w:noProof/>
          <w:sz w:val="24"/>
          <w:szCs w:val="24"/>
        </w:rPr>
        <w:t>es that are prescribed in the 'Roadmap to electricity from fusion energy'. In addition to this grant agreement, the Commission has signed a bi-lateral contract with the UK fusion research centre, CCFE, to continue to operate JET over the period 2014-18. EU</w:t>
      </w:r>
      <w:r>
        <w:rPr>
          <w:rFonts w:ascii="Times New Roman" w:hAnsi="Times New Roman" w:cs="Times New Roman"/>
          <w:noProof/>
          <w:sz w:val="24"/>
          <w:szCs w:val="24"/>
        </w:rPr>
        <w:t>ROfusion is tasked with the scientific exploitation of JET. Both the grant and this bi-lateral contract are for a duration of 5 years, providing continuity for the whole joint programme. Roughly 80% of the research programme and budget is focussed on achie</w:t>
      </w:r>
      <w:r>
        <w:rPr>
          <w:rFonts w:ascii="Times New Roman" w:hAnsi="Times New Roman" w:cs="Times New Roman"/>
          <w:noProof/>
          <w:sz w:val="24"/>
          <w:szCs w:val="24"/>
        </w:rPr>
        <w:t xml:space="preserve">ving successful commissioning and operation of the ITER project. The remainder is dedicated to the pre-conceptual design of the first demonstration reactor (DEMO) that will produce electricity for the grid around mid-century. </w:t>
      </w:r>
    </w:p>
    <w:p w:rsidR="00E535A0" w:rsidRDefault="00C953F5">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Fisssion research</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fission </w:t>
      </w:r>
      <w:r>
        <w:rPr>
          <w:rFonts w:ascii="Times New Roman" w:hAnsi="Times New Roman" w:cs="Times New Roman"/>
          <w:noProof/>
          <w:sz w:val="24"/>
          <w:szCs w:val="24"/>
        </w:rPr>
        <w:t>research, the Euratom programme is also evolving. With respect to generation II and III reactors, during Horizon 2020 Euratom will further target its support on safety research through a careful assessment of the critical remaining gaps, in close partnersh</w:t>
      </w:r>
      <w:r>
        <w:rPr>
          <w:rFonts w:ascii="Times New Roman" w:hAnsi="Times New Roman" w:cs="Times New Roman"/>
          <w:noProof/>
          <w:sz w:val="24"/>
          <w:szCs w:val="24"/>
        </w:rPr>
        <w:t>ip with industry and the regulators' Technical Support Organisations (TSO). This will be undertaken through focused innovation actions covering areas such as reactor safety upgrades, safe lifetime extension, accident prevention and accident mitigation stra</w:t>
      </w:r>
      <w:r>
        <w:rPr>
          <w:rFonts w:ascii="Times New Roman" w:hAnsi="Times New Roman" w:cs="Times New Roman"/>
          <w:noProof/>
          <w:sz w:val="24"/>
          <w:szCs w:val="24"/>
        </w:rPr>
        <w:t xml:space="preserve">tegies. With respect to generation IV reactors, Euratom will aim at stimulating the developments of the three systems currently considered as a priority by European stakeholders: the sodium-cooled fast neutron reactors (SFR), the lead-cooled fast reactors </w:t>
      </w:r>
      <w:r>
        <w:rPr>
          <w:rFonts w:ascii="Times New Roman" w:hAnsi="Times New Roman" w:cs="Times New Roman"/>
          <w:noProof/>
          <w:sz w:val="24"/>
          <w:szCs w:val="24"/>
        </w:rPr>
        <w:t>(LFR), and the gas-cooled fast reactors (GFR). Euratom will support accompanying research actions notably with respect to front-end engineering and conformance of the project to the highest possible European safety standards. In the field of radioactive wa</w:t>
      </w:r>
      <w:r>
        <w:rPr>
          <w:rFonts w:ascii="Times New Roman" w:hAnsi="Times New Roman" w:cs="Times New Roman"/>
          <w:noProof/>
          <w:sz w:val="24"/>
          <w:szCs w:val="24"/>
        </w:rPr>
        <w:t>ste, Euratom-funded research will help during Horizon 2020 to resolve some last remaining scientific and technical issues for Europe's first-of-the kind repositories, expected to become a reality in the next 5-10 years. Euratom will also further support re</w:t>
      </w:r>
      <w:r>
        <w:rPr>
          <w:rFonts w:ascii="Times New Roman" w:hAnsi="Times New Roman" w:cs="Times New Roman"/>
          <w:noProof/>
          <w:sz w:val="24"/>
          <w:szCs w:val="24"/>
        </w:rPr>
        <w:t>search on societal and public involvement in this area, building on lessons learned with public engagement regarding site selection for example. In the field of radiation protection, Euratom support will also evolve regarding the support in the area of exp</w:t>
      </w:r>
      <w:r>
        <w:rPr>
          <w:rFonts w:ascii="Times New Roman" w:hAnsi="Times New Roman" w:cs="Times New Roman"/>
          <w:noProof/>
          <w:sz w:val="24"/>
          <w:szCs w:val="24"/>
        </w:rPr>
        <w:t>osure to low doses of radiation. A strong scientific underpinning for the regulatory framework in this domain is critical in order to adequately and appropriately protect people, whilst not penalising unduly some activities through unnecessarily protective</w:t>
      </w:r>
      <w:r>
        <w:rPr>
          <w:rFonts w:ascii="Times New Roman" w:hAnsi="Times New Roman" w:cs="Times New Roman"/>
          <w:noProof/>
          <w:sz w:val="24"/>
          <w:szCs w:val="24"/>
        </w:rPr>
        <w:t xml:space="preserve"> and over-costly measures. In this respect Euratom will further consolidate the European Joint Programme (EJP) in low-dose research launched in 2015 on the basis of actions funded during FP7.</w:t>
      </w:r>
    </w:p>
    <w:p w:rsidR="00E535A0" w:rsidRDefault="00E535A0">
      <w:pPr>
        <w:spacing w:line="240" w:lineRule="auto"/>
        <w:rPr>
          <w:noProof/>
        </w:rPr>
      </w:pPr>
    </w:p>
    <w:p w:rsidR="00E535A0" w:rsidRDefault="00C953F5">
      <w:pPr>
        <w:spacing w:line="240" w:lineRule="auto"/>
        <w:rPr>
          <w:rFonts w:eastAsiaTheme="majorEastAsia"/>
          <w:b/>
          <w:bCs/>
          <w:noProof/>
          <w:sz w:val="28"/>
          <w:szCs w:val="28"/>
        </w:rPr>
      </w:pPr>
      <w:r>
        <w:rPr>
          <w:noProof/>
        </w:rPr>
        <w:br w:type="page"/>
      </w:r>
    </w:p>
    <w:p w:rsidR="00E535A0" w:rsidRDefault="00C953F5">
      <w:pPr>
        <w:pStyle w:val="berschrift1"/>
        <w:rPr>
          <w:noProof/>
          <w:szCs w:val="24"/>
          <w:lang w:val="fr-FR"/>
        </w:rPr>
      </w:pPr>
      <w:bookmarkStart w:id="25" w:name="_Toc433998136"/>
      <w:bookmarkStart w:id="26" w:name="_Toc439752806"/>
      <w:r>
        <w:rPr>
          <w:noProof/>
          <w:szCs w:val="24"/>
          <w:lang w:val="fr-FR"/>
        </w:rPr>
        <w:t>Joint Technologies Initiatives (JTIs) under FP7</w:t>
      </w:r>
      <w:bookmarkEnd w:id="25"/>
      <w:bookmarkEnd w:id="26"/>
    </w:p>
    <w:p w:rsidR="00E535A0" w:rsidRDefault="00E535A0">
      <w:pPr>
        <w:autoSpaceDE w:val="0"/>
        <w:autoSpaceDN w:val="0"/>
        <w:adjustRightInd w:val="0"/>
        <w:spacing w:after="0" w:line="240" w:lineRule="auto"/>
        <w:jc w:val="both"/>
        <w:rPr>
          <w:rFonts w:ascii="Times New Roman" w:hAnsi="Times New Roman" w:cs="Times New Roman"/>
          <w:noProof/>
          <w:sz w:val="24"/>
          <w:szCs w:val="24"/>
          <w:lang w:val="fr-FR"/>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Joint Technology Initiatives (JTIs) were a novel instrument of FP7 and the first experience in setting up public-private partnerships in research at the European level. Established under Article 171 of the Treaty, they aimed to create </w:t>
      </w:r>
      <w:r>
        <w:rPr>
          <w:rFonts w:ascii="Times New Roman" w:eastAsia="Times New Roman" w:hAnsi="Times New Roman" w:cs="Times New Roman"/>
          <w:noProof/>
          <w:sz w:val="24"/>
          <w:szCs w:val="24"/>
          <w:lang w:val="en" w:eastAsia="en-GB"/>
        </w:rPr>
        <w:t xml:space="preserve">long-term </w:t>
      </w:r>
      <w:r>
        <w:rPr>
          <w:rFonts w:ascii="Times New Roman" w:hAnsi="Times New Roman" w:cs="Times New Roman"/>
          <w:noProof/>
          <w:sz w:val="24"/>
          <w:szCs w:val="24"/>
        </w:rPr>
        <w:t>public-</w:t>
      </w:r>
      <w:r>
        <w:rPr>
          <w:rFonts w:ascii="Times New Roman" w:hAnsi="Times New Roman" w:cs="Times New Roman"/>
          <w:noProof/>
          <w:sz w:val="24"/>
          <w:szCs w:val="24"/>
        </w:rPr>
        <w:t xml:space="preserve">private partnerships to </w:t>
      </w:r>
      <w:r>
        <w:rPr>
          <w:rFonts w:ascii="Times New Roman" w:eastAsia="Times New Roman" w:hAnsi="Times New Roman" w:cs="Times New Roman"/>
          <w:noProof/>
          <w:sz w:val="24"/>
          <w:szCs w:val="24"/>
          <w:lang w:val="en" w:eastAsia="en-GB"/>
        </w:rPr>
        <w:t>support large-scale multinational research activities in areas of major interest to European industrial competitiveness and issues of high societal relevance</w:t>
      </w:r>
      <w:r>
        <w:rPr>
          <w:rFonts w:ascii="Times New Roman" w:hAnsi="Times New Roman" w:cs="Times New Roman"/>
          <w:noProof/>
          <w:sz w:val="24"/>
          <w:szCs w:val="24"/>
        </w:rPr>
        <w:t>. The JTIs were also designed to perform better than the traditional instru</w:t>
      </w:r>
      <w:r>
        <w:rPr>
          <w:rFonts w:ascii="Times New Roman" w:hAnsi="Times New Roman" w:cs="Times New Roman"/>
          <w:noProof/>
          <w:sz w:val="24"/>
          <w:szCs w:val="24"/>
        </w:rPr>
        <w:t>ments of the Framework Programmes which had proven not adequate</w:t>
      </w:r>
      <w:r>
        <w:rPr>
          <w:rFonts w:ascii="Times New Roman" w:hAnsi="Times New Roman" w:cs="Times New Roman"/>
          <w:noProof/>
          <w:sz w:val="24"/>
          <w:szCs w:val="24"/>
          <w:vertAlign w:val="superscript"/>
        </w:rPr>
        <w:footnoteReference w:id="59"/>
      </w:r>
      <w:r>
        <w:rPr>
          <w:rFonts w:ascii="Times New Roman" w:hAnsi="Times New Roman" w:cs="Times New Roman"/>
          <w:noProof/>
          <w:sz w:val="24"/>
          <w:szCs w:val="24"/>
        </w:rPr>
        <w:t xml:space="preserve">. </w:t>
      </w:r>
    </w:p>
    <w:p w:rsidR="00E535A0" w:rsidRDefault="00C953F5">
      <w:p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hAnsi="Times New Roman" w:cs="Times New Roman"/>
          <w:bCs/>
          <w:noProof/>
          <w:sz w:val="24"/>
          <w:szCs w:val="24"/>
          <w:lang w:val="en"/>
        </w:rPr>
        <w:t xml:space="preserve">Implemented under the FP7 Cooperation Specific Programme, the </w:t>
      </w:r>
      <w:r>
        <w:rPr>
          <w:rFonts w:ascii="Times New Roman" w:eastAsia="Times New Roman" w:hAnsi="Times New Roman" w:cs="Times New Roman"/>
          <w:noProof/>
          <w:sz w:val="24"/>
          <w:szCs w:val="24"/>
          <w:lang w:val="en" w:eastAsia="en-GB"/>
        </w:rPr>
        <w:t xml:space="preserve">Joint Technology Initiatives were managed within dedicated structures based on Article 187 TFEU and projects were funded by match funding between the </w:t>
      </w:r>
      <w:r>
        <w:rPr>
          <w:rFonts w:ascii="Times New Roman" w:hAnsi="Times New Roman" w:cs="Times New Roman"/>
          <w:bCs/>
          <w:noProof/>
          <w:sz w:val="24"/>
          <w:szCs w:val="24"/>
          <w:lang w:val="en"/>
        </w:rPr>
        <w:t xml:space="preserve">European Commission and industry and Members States for at least an equivalent amount. </w:t>
      </w:r>
    </w:p>
    <w:p w:rsidR="00E535A0" w:rsidRDefault="00C953F5">
      <w:pPr>
        <w:autoSpaceDE w:val="0"/>
        <w:autoSpaceDN w:val="0"/>
        <w:adjustRightInd w:val="0"/>
        <w:spacing w:after="0" w:line="240" w:lineRule="auto"/>
        <w:jc w:val="both"/>
        <w:rPr>
          <w:rFonts w:ascii="Times New Roman" w:hAnsi="Times New Roman" w:cs="Times New Roman"/>
          <w:bCs/>
          <w:noProof/>
          <w:sz w:val="24"/>
          <w:szCs w:val="24"/>
          <w:lang w:val="en"/>
        </w:rPr>
      </w:pPr>
      <w:r>
        <w:rPr>
          <w:rFonts w:ascii="Times New Roman" w:hAnsi="Times New Roman" w:cs="Times New Roman"/>
          <w:bCs/>
          <w:noProof/>
          <w:sz w:val="24"/>
          <w:szCs w:val="24"/>
          <w:lang w:val="en"/>
        </w:rPr>
        <w:t>Five JTIs were set</w:t>
      </w:r>
      <w:r>
        <w:rPr>
          <w:rFonts w:ascii="Times New Roman" w:hAnsi="Times New Roman" w:cs="Times New Roman"/>
          <w:bCs/>
          <w:noProof/>
          <w:sz w:val="24"/>
          <w:szCs w:val="24"/>
          <w:lang w:val="en"/>
        </w:rPr>
        <w:t xml:space="preserve"> up, in the following areas</w:t>
      </w:r>
      <w:r>
        <w:rPr>
          <w:rFonts w:ascii="Times New Roman" w:hAnsi="Times New Roman" w:cs="Times New Roman"/>
          <w:bCs/>
          <w:noProof/>
          <w:sz w:val="24"/>
          <w:szCs w:val="24"/>
          <w:vertAlign w:val="superscript"/>
          <w:lang w:val="en"/>
        </w:rPr>
        <w:footnoteReference w:id="60"/>
      </w:r>
      <w:r>
        <w:rPr>
          <w:rFonts w:ascii="Times New Roman" w:hAnsi="Times New Roman" w:cs="Times New Roman"/>
          <w:bCs/>
          <w:noProof/>
          <w:sz w:val="24"/>
          <w:szCs w:val="24"/>
          <w:lang w:val="en"/>
        </w:rPr>
        <w:t xml:space="preserve">: public health, Aeronautics and air transport, embedded computing systems, Nanoelectronics, Fuel cells and hydrogen. </w:t>
      </w:r>
    </w:p>
    <w:p w:rsidR="00E535A0" w:rsidRDefault="00E535A0">
      <w:pPr>
        <w:autoSpaceDE w:val="0"/>
        <w:autoSpaceDN w:val="0"/>
        <w:adjustRightInd w:val="0"/>
        <w:spacing w:after="0" w:line="240" w:lineRule="auto"/>
        <w:jc w:val="both"/>
        <w:rPr>
          <w:rFonts w:ascii="Times New Roman" w:hAnsi="Times New Roman" w:cs="Times New Roman"/>
          <w:b/>
          <w:bCs/>
          <w:noProof/>
          <w:sz w:val="24"/>
          <w:szCs w:val="24"/>
          <w:lang w:val="en"/>
        </w:rPr>
      </w:pPr>
    </w:p>
    <w:p w:rsidR="00E535A0" w:rsidRDefault="00C953F5">
      <w:pPr>
        <w:keepNext/>
        <w:keepLines/>
        <w:spacing w:before="200" w:after="0" w:line="240" w:lineRule="auto"/>
        <w:jc w:val="both"/>
        <w:outlineLvl w:val="3"/>
        <w:rPr>
          <w:rFonts w:ascii="Times New Roman" w:eastAsia="Times New Roman" w:hAnsi="Times New Roman" w:cs="Times New Roman"/>
          <w:b/>
          <w:bCs/>
          <w:iCs/>
          <w:noProof/>
          <w:sz w:val="24"/>
          <w:szCs w:val="24"/>
          <w:lang w:eastAsia="en-GB"/>
        </w:rPr>
      </w:pPr>
      <w:r>
        <w:rPr>
          <w:rFonts w:ascii="Times New Roman" w:eastAsiaTheme="majorEastAsia" w:hAnsi="Times New Roman" w:cs="Times New Roman"/>
          <w:b/>
          <w:bCs/>
          <w:iCs/>
          <w:noProof/>
          <w:sz w:val="24"/>
          <w:szCs w:val="24"/>
        </w:rPr>
        <w:t>15.1. Innovative Medicines Initiative (IMI)</w:t>
      </w:r>
      <w:r>
        <w:rPr>
          <w:rFonts w:ascii="Times New Roman" w:eastAsia="Times New Roman" w:hAnsi="Times New Roman" w:cs="Times New Roman"/>
          <w:b/>
          <w:bCs/>
          <w:iCs/>
          <w:noProof/>
          <w:sz w:val="24"/>
          <w:szCs w:val="24"/>
          <w:lang w:eastAsia="en-GB"/>
        </w:rPr>
        <w:t xml:space="preserve"> </w:t>
      </w:r>
    </w:p>
    <w:p w:rsidR="00E535A0" w:rsidRDefault="00C953F5">
      <w:pPr>
        <w:keepNext/>
        <w:keepLines/>
        <w:spacing w:before="200" w:after="0" w:line="240" w:lineRule="auto"/>
        <w:jc w:val="both"/>
        <w:outlineLvl w:val="3"/>
        <w:rPr>
          <w:rFonts w:ascii="Times New Roman" w:eastAsia="Times New Roman" w:hAnsi="Times New Roman" w:cs="Times New Roman"/>
          <w:b/>
          <w:bCs/>
          <w:i/>
          <w:iCs/>
          <w:noProof/>
          <w:sz w:val="24"/>
          <w:szCs w:val="24"/>
          <w:lang w:eastAsia="en-GB"/>
        </w:rPr>
      </w:pPr>
      <w:r>
        <w:rPr>
          <w:rFonts w:ascii="Times New Roman" w:eastAsia="Times New Roman" w:hAnsi="Times New Roman" w:cs="Times New Roman"/>
          <w:bCs/>
          <w:iCs/>
          <w:noProof/>
          <w:sz w:val="24"/>
          <w:szCs w:val="24"/>
          <w:lang w:eastAsia="en-GB"/>
        </w:rPr>
        <w:t xml:space="preserve">IMI was implemented under the FP7 Cooperation </w:t>
      </w:r>
      <w:r>
        <w:rPr>
          <w:rFonts w:ascii="Times New Roman" w:eastAsia="Times New Roman" w:hAnsi="Times New Roman" w:cs="Times New Roman"/>
          <w:bCs/>
          <w:iCs/>
          <w:noProof/>
          <w:sz w:val="24"/>
          <w:szCs w:val="24"/>
          <w:lang w:val="en" w:eastAsia="en-GB"/>
        </w:rPr>
        <w:t xml:space="preserve">Health theme.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eastAsia="Times New Roman" w:hAnsi="Times New Roman" w:cs="Times New Roman"/>
          <w:b/>
          <w:bCs/>
          <w:noProof/>
          <w:sz w:val="24"/>
          <w:szCs w:val="24"/>
          <w:lang w:val="en" w:eastAsia="en-GB"/>
        </w:rPr>
        <w:t>Objective:</w:t>
      </w:r>
      <w:r>
        <w:rPr>
          <w:rFonts w:ascii="Times New Roman" w:hAnsi="Times New Roman" w:cs="Times New Roman"/>
          <w:b/>
          <w:bCs/>
          <w:noProof/>
          <w:sz w:val="24"/>
          <w:szCs w:val="24"/>
        </w:rPr>
        <w:t xml:space="preserve"> </w:t>
      </w:r>
      <w:r>
        <w:rPr>
          <w:rFonts w:ascii="Times New Roman" w:eastAsia="Times New Roman" w:hAnsi="Times New Roman" w:cs="Times New Roman"/>
          <w:noProof/>
          <w:sz w:val="24"/>
          <w:szCs w:val="24"/>
          <w:lang w:val="en" w:eastAsia="en-GB"/>
        </w:rPr>
        <w:t xml:space="preserve">To foster Europe as the most attractive place for pharmaceutical R&amp;D, thereby enhancing access to innovative medicines for patients: </w:t>
      </w:r>
      <w:r>
        <w:rPr>
          <w:rFonts w:ascii="Times New Roman" w:hAnsi="Times New Roman" w:cs="Times New Roman"/>
          <w:noProof/>
          <w:sz w:val="24"/>
          <w:szCs w:val="24"/>
        </w:rPr>
        <w:t>“It shall have the objective of significantly improving the efficiency and effectiveness of the drug development</w:t>
      </w:r>
      <w:r>
        <w:rPr>
          <w:rFonts w:ascii="Times New Roman" w:hAnsi="Times New Roman" w:cs="Times New Roman"/>
          <w:noProof/>
          <w:sz w:val="24"/>
          <w:szCs w:val="24"/>
        </w:rPr>
        <w:t xml:space="preserve"> process with the long-term aim that the pharmaceutical sector produces more effective and safer innovative medicines”</w:t>
      </w:r>
      <w:r>
        <w:rPr>
          <w:rFonts w:ascii="Times New Roman" w:eastAsia="Times New Roman" w:hAnsi="Times New Roman" w:cs="Times New Roman"/>
          <w:noProof/>
          <w:sz w:val="24"/>
          <w:szCs w:val="24"/>
          <w:vertAlign w:val="superscript"/>
          <w:lang w:val="en" w:eastAsia="en-GB"/>
        </w:rPr>
        <w:footnoteReference w:id="61"/>
      </w:r>
      <w:r>
        <w:rPr>
          <w:rFonts w:ascii="Times New Roman" w:eastAsia="Times New Roman" w:hAnsi="Times New Roman" w:cs="Times New Roman"/>
          <w:noProof/>
          <w:sz w:val="24"/>
          <w:szCs w:val="24"/>
          <w:lang w:val="en" w:eastAsia="en-GB"/>
        </w:rPr>
        <w:t>.</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
          <w:bCs/>
          <w:noProof/>
          <w:sz w:val="24"/>
          <w:szCs w:val="24"/>
          <w:lang w:val="en" w:eastAsia="en-GB"/>
        </w:rPr>
      </w:pPr>
      <w:r>
        <w:rPr>
          <w:rFonts w:ascii="Times New Roman" w:eastAsia="Times New Roman" w:hAnsi="Times New Roman" w:cs="Times New Roman"/>
          <w:b/>
          <w:bCs/>
          <w:noProof/>
          <w:sz w:val="24"/>
          <w:szCs w:val="24"/>
          <w:lang w:val="en" w:eastAsia="en-GB"/>
        </w:rPr>
        <w:t xml:space="preserve">Key deliverable: </w:t>
      </w:r>
      <w:r>
        <w:rPr>
          <w:rFonts w:ascii="Times New Roman" w:eastAsia="Times New Roman" w:hAnsi="Times New Roman" w:cs="Times New Roman"/>
          <w:noProof/>
          <w:sz w:val="24"/>
          <w:szCs w:val="24"/>
          <w:lang w:val="en" w:eastAsia="en-GB"/>
        </w:rPr>
        <w:t>To provide new tools and methodologies to remove major bottlenecks in drug development.</w:t>
      </w:r>
    </w:p>
    <w:p w:rsidR="00E535A0" w:rsidRDefault="00C953F5">
      <w:pPr>
        <w:spacing w:after="240" w:line="240" w:lineRule="auto"/>
        <w:ind w:right="-284"/>
        <w:jc w:val="both"/>
        <w:rPr>
          <w:rFonts w:ascii="Times New Roman" w:eastAsia="Calibri" w:hAnsi="Times New Roman" w:cs="Times New Roman"/>
          <w:noProof/>
          <w:sz w:val="24"/>
          <w:szCs w:val="24"/>
        </w:rPr>
      </w:pPr>
      <w:r>
        <w:rPr>
          <w:rFonts w:ascii="Times New Roman" w:hAnsi="Times New Roman" w:cs="Times New Roman"/>
          <w:noProof/>
          <w:sz w:val="24"/>
          <w:szCs w:val="24"/>
        </w:rPr>
        <w:t>Through the Innovative Medicin</w:t>
      </w:r>
      <w:r>
        <w:rPr>
          <w:rFonts w:ascii="Times New Roman" w:hAnsi="Times New Roman" w:cs="Times New Roman"/>
          <w:noProof/>
          <w:sz w:val="24"/>
          <w:szCs w:val="24"/>
        </w:rPr>
        <w:t xml:space="preserve">es Initiative (IMI) JU, Europe has succeeded in establishing a </w:t>
      </w:r>
      <w:r>
        <w:rPr>
          <w:rFonts w:ascii="Times New Roman" w:eastAsia="Calibri" w:hAnsi="Times New Roman" w:cs="Times New Roman"/>
          <w:noProof/>
          <w:sz w:val="24"/>
          <w:szCs w:val="24"/>
        </w:rPr>
        <w:t>new model for open innovation in the pharmaceutical research area</w:t>
      </w:r>
      <w:r>
        <w:rPr>
          <w:rFonts w:ascii="Times New Roman" w:hAnsi="Times New Roman" w:cs="Times New Roman"/>
          <w:noProof/>
          <w:sz w:val="24"/>
          <w:szCs w:val="24"/>
        </w:rPr>
        <w:t>, which unites research strengths across European pharmaceutical industry</w:t>
      </w:r>
      <w:r>
        <w:rPr>
          <w:rFonts w:ascii="Times New Roman" w:eastAsia="Calibri" w:hAnsi="Times New Roman" w:cs="Times New Roman"/>
          <w:noProof/>
          <w:sz w:val="24"/>
          <w:szCs w:val="24"/>
          <w:vertAlign w:val="superscript"/>
        </w:rPr>
        <w:footnoteReference w:id="62"/>
      </w:r>
      <w:r>
        <w:rPr>
          <w:rFonts w:ascii="Times New Roman" w:hAnsi="Times New Roman" w:cs="Times New Roman"/>
          <w:noProof/>
          <w:sz w:val="24"/>
          <w:szCs w:val="24"/>
        </w:rPr>
        <w:t xml:space="preserve">, academia, </w:t>
      </w:r>
      <w:r>
        <w:rPr>
          <w:rFonts w:ascii="Times New Roman" w:eastAsia="Calibri" w:hAnsi="Times New Roman" w:cs="Times New Roman"/>
          <w:noProof/>
          <w:sz w:val="24"/>
          <w:szCs w:val="24"/>
        </w:rPr>
        <w:t xml:space="preserve">patient organisations </w:t>
      </w:r>
      <w:r>
        <w:rPr>
          <w:rFonts w:ascii="Times New Roman" w:hAnsi="Times New Roman" w:cs="Times New Roman"/>
          <w:noProof/>
          <w:sz w:val="24"/>
          <w:szCs w:val="24"/>
        </w:rPr>
        <w:t>and SMEs. The consor</w:t>
      </w:r>
      <w:r>
        <w:rPr>
          <w:rFonts w:ascii="Times New Roman" w:hAnsi="Times New Roman" w:cs="Times New Roman"/>
          <w:noProof/>
          <w:sz w:val="24"/>
          <w:szCs w:val="24"/>
        </w:rPr>
        <w:t xml:space="preserve">tia formed carry out focussed research addressing problems of immediate relevance to industry and future public health. </w:t>
      </w:r>
      <w:r>
        <w:rPr>
          <w:rFonts w:ascii="Times New Roman" w:eastAsia="Calibri" w:hAnsi="Times New Roman" w:cs="Times New Roman"/>
          <w:noProof/>
          <w:sz w:val="24"/>
          <w:szCs w:val="24"/>
        </w:rPr>
        <w:t xml:space="preserve">IMI has proved that the different partners can be brought together in open innovation networks to participate along the long and risky biopharmaceutical innovation chain. </w:t>
      </w:r>
      <w:r>
        <w:rPr>
          <w:rFonts w:ascii="Times New Roman" w:hAnsi="Times New Roman" w:cs="Times New Roman"/>
          <w:noProof/>
          <w:sz w:val="24"/>
          <w:szCs w:val="24"/>
        </w:rPr>
        <w:t xml:space="preserve">To have formed and embedded this new, applied, research environment is a significant </w:t>
      </w:r>
      <w:r>
        <w:rPr>
          <w:rFonts w:ascii="Times New Roman" w:hAnsi="Times New Roman" w:cs="Times New Roman"/>
          <w:noProof/>
          <w:sz w:val="24"/>
          <w:szCs w:val="24"/>
        </w:rPr>
        <w:t xml:space="preserve">achievement for Europe. </w:t>
      </w:r>
      <w:r>
        <w:rPr>
          <w:rFonts w:ascii="Times New Roman" w:eastAsia="Calibri" w:hAnsi="Times New Roman" w:cs="Times New Roman"/>
          <w:noProof/>
          <w:sz w:val="24"/>
          <w:szCs w:val="24"/>
        </w:rPr>
        <w:t>Taken as model for how to invigorate research and investment in this key growth industry, it is being copied across the globe.</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Financial resources available to the IMI JU, totalling € 2 billion, make it the largest public private pa</w:t>
      </w:r>
      <w:r>
        <w:rPr>
          <w:rFonts w:ascii="Times New Roman" w:hAnsi="Times New Roman" w:cs="Times New Roman"/>
          <w:noProof/>
          <w:sz w:val="24"/>
          <w:szCs w:val="24"/>
        </w:rPr>
        <w:t>rtnership in health research in the world. IMI constitutes a novel model for implementing the concept of “open innovation”. No other European programme has enabled cross-company collaboration within the pharmaceutical sector on the scale that has been achi</w:t>
      </w:r>
      <w:r>
        <w:rPr>
          <w:rFonts w:ascii="Times New Roman" w:hAnsi="Times New Roman" w:cs="Times New Roman"/>
          <w:noProof/>
          <w:sz w:val="24"/>
          <w:szCs w:val="24"/>
        </w:rPr>
        <w:t>eved with IMI</w:t>
      </w:r>
      <w:r>
        <w:rPr>
          <w:rFonts w:ascii="Times New Roman" w:hAnsi="Times New Roman" w:cs="Times New Roman"/>
          <w:noProof/>
          <w:sz w:val="24"/>
          <w:szCs w:val="24"/>
          <w:vertAlign w:val="superscript"/>
        </w:rPr>
        <w:footnoteReference w:id="63"/>
      </w:r>
      <w:r>
        <w:rPr>
          <w:rFonts w:ascii="Times New Roman" w:hAnsi="Times New Roman" w:cs="Times New Roman"/>
          <w:noProof/>
          <w:sz w:val="24"/>
          <w:szCs w:val="24"/>
        </w:rPr>
        <w:t>.</w:t>
      </w:r>
    </w:p>
    <w:p w:rsidR="00E535A0" w:rsidRDefault="00C953F5">
      <w:pPr>
        <w:spacing w:after="240" w:line="240" w:lineRule="auto"/>
        <w:ind w:right="-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IMI has already produced important breakthroughs such as simpler path for conducting clinical trials, or new biomarkers and models of disease, all of which directly contribute to the goal of quicker development of new treatments</w:t>
      </w:r>
      <w:r>
        <w:rPr>
          <w:rFonts w:ascii="Times New Roman" w:eastAsia="Calibri" w:hAnsi="Times New Roman" w:cs="Times New Roman"/>
          <w:noProof/>
          <w:sz w:val="24"/>
          <w:szCs w:val="24"/>
          <w:vertAlign w:val="superscript"/>
        </w:rPr>
        <w:footnoteReference w:id="64"/>
      </w:r>
      <w:r>
        <w:rPr>
          <w:rFonts w:ascii="Times New Roman" w:eastAsia="Calibri" w:hAnsi="Times New Roman" w:cs="Times New Roman"/>
          <w:noProof/>
          <w:sz w:val="24"/>
          <w:szCs w:val="24"/>
        </w:rPr>
        <w:t>. Thanks to</w:t>
      </w:r>
      <w:r>
        <w:rPr>
          <w:rFonts w:ascii="Times New Roman" w:eastAsia="Calibri" w:hAnsi="Times New Roman" w:cs="Times New Roman"/>
          <w:noProof/>
          <w:sz w:val="24"/>
          <w:szCs w:val="24"/>
        </w:rPr>
        <w:t xml:space="preserve"> IMI a large European network of 261 clinical centres in 32 countries has been created and several compounds are in various stages of clinical development. </w:t>
      </w:r>
    </w:p>
    <w:p w:rsidR="00E535A0" w:rsidRDefault="00C953F5">
      <w:pPr>
        <w:spacing w:after="240" w:line="240" w:lineRule="auto"/>
        <w:ind w:right="-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IMI has played a major role in consolidating the European pharmaceutical research base by acting as</w:t>
      </w:r>
      <w:r>
        <w:rPr>
          <w:rFonts w:ascii="Times New Roman" w:eastAsia="Calibri" w:hAnsi="Times New Roman" w:cs="Times New Roman"/>
          <w:noProof/>
          <w:sz w:val="24"/>
          <w:szCs w:val="24"/>
        </w:rPr>
        <w:t xml:space="preserve"> a "one stop shop" for biomedical research and development in Europe. This has contributed to reinforcing Europe’s attractiveness for pharmaceutical R&amp;D, stemming the flow of investment away from Europe to the USA and Asia.</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IMI has already (in 2013) genera</w:t>
      </w:r>
      <w:r>
        <w:rPr>
          <w:rFonts w:ascii="Times New Roman" w:hAnsi="Times New Roman" w:cs="Times New Roman"/>
          <w:noProof/>
          <w:sz w:val="24"/>
          <w:szCs w:val="24"/>
        </w:rPr>
        <w:t>ted twice as many jobs per euro spent compared to FP7 projects. Projects funded by IMI have contributed to creating approximately 1,500 new direct jobs so far, with an average cost per job of € 200,000 compared to € 400,000 per job in FP7 projects.</w:t>
      </w:r>
    </w:p>
    <w:p w:rsidR="00E535A0" w:rsidRDefault="00C953F5">
      <w:pPr>
        <w:spacing w:after="240" w:line="240" w:lineRule="auto"/>
        <w:ind w:right="-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By supp</w:t>
      </w:r>
      <w:r>
        <w:rPr>
          <w:rFonts w:ascii="Times New Roman" w:eastAsia="Calibri" w:hAnsi="Times New Roman" w:cs="Times New Roman"/>
          <w:noProof/>
          <w:sz w:val="24"/>
          <w:szCs w:val="24"/>
        </w:rPr>
        <w:t>orting a better alignment of R&amp;D strategies, IMI will in the long run increase the innovative capacity of the sector as a whole.</w:t>
      </w: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second Interim Evaluation of the IMI concludes that:</w:t>
      </w: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IMI has demonstrated the feasibility of large, multi-stakeholder </w:t>
      </w:r>
      <w:r>
        <w:rPr>
          <w:rFonts w:ascii="Times New Roman" w:hAnsi="Times New Roman" w:cs="Times New Roman"/>
          <w:noProof/>
          <w:sz w:val="24"/>
          <w:szCs w:val="24"/>
        </w:rPr>
        <w:t>PPPs for research and development in biomedicine. It has become recognised as a world-leading PPP in healthcare.</w:t>
      </w:r>
    </w:p>
    <w:p w:rsidR="00E535A0" w:rsidRDefault="00E535A0">
      <w:pPr>
        <w:autoSpaceDE w:val="0"/>
        <w:autoSpaceDN w:val="0"/>
        <w:adjustRightInd w:val="0"/>
        <w:spacing w:after="24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This unique model of funding and interaction between the pharmaceutical industry and other key stakeholders has proved to be effective and e</w:t>
      </w:r>
      <w:r>
        <w:rPr>
          <w:rFonts w:ascii="Times New Roman" w:hAnsi="Times New Roman" w:cs="Times New Roman"/>
          <w:noProof/>
          <w:sz w:val="24"/>
          <w:szCs w:val="24"/>
        </w:rPr>
        <w:t>fficient in delivering projects of relevance to healthcare challenges and building trust between participants. Specifically: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on-going IMI projects have already demonstrated scientific excellence;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IMI-funded projects are effectively addressing key challenge</w:t>
      </w:r>
      <w:r>
        <w:rPr>
          <w:rFonts w:ascii="Times New Roman" w:hAnsi="Times New Roman" w:cs="Times New Roman"/>
          <w:noProof/>
          <w:sz w:val="24"/>
          <w:szCs w:val="24"/>
        </w:rPr>
        <w:t>s and barriers in the field of biomedical research and development;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IMI's operational implementation and efficiency has significantly improved over the past years.</w:t>
      </w:r>
    </w:p>
    <w:p w:rsidR="00E535A0" w:rsidRDefault="00E535A0">
      <w:pPr>
        <w:spacing w:after="240" w:line="240" w:lineRule="auto"/>
        <w:contextualSpacing/>
        <w:jc w:val="both"/>
        <w:rPr>
          <w:rFonts w:ascii="Times New Roman" w:eastAsia="Calibri" w:hAnsi="Times New Roman" w:cs="Times New Roman"/>
          <w:noProof/>
          <w:sz w:val="24"/>
          <w:szCs w:val="24"/>
        </w:rPr>
      </w:pPr>
    </w:p>
    <w:p w:rsidR="00E535A0" w:rsidRDefault="00C953F5">
      <w:pPr>
        <w:spacing w:after="24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noProof/>
          <w:sz w:val="24"/>
          <w:szCs w:val="24"/>
        </w:rPr>
        <w:t>- IMI's specific governance structure has proven to work well overall and has been kept for</w:t>
      </w:r>
      <w:r>
        <w:rPr>
          <w:rFonts w:ascii="Times New Roman" w:eastAsia="Calibri" w:hAnsi="Times New Roman" w:cs="Times New Roman"/>
          <w:noProof/>
          <w:sz w:val="24"/>
          <w:szCs w:val="24"/>
        </w:rPr>
        <w:t xml:space="preserve"> IMI2 under Horizon 2020. </w:t>
      </w:r>
    </w:p>
    <w:p w:rsidR="00E535A0" w:rsidRDefault="00E535A0">
      <w:pPr>
        <w:spacing w:after="240" w:line="240" w:lineRule="auto"/>
        <w:contextualSpacing/>
        <w:jc w:val="both"/>
        <w:rPr>
          <w:rFonts w:ascii="Times New Roman" w:eastAsia="Calibri" w:hAnsi="Times New Roman" w:cs="Times New Roman"/>
          <w:b/>
          <w:noProof/>
          <w:sz w:val="24"/>
          <w:szCs w:val="24"/>
        </w:rPr>
      </w:pPr>
    </w:p>
    <w:p w:rsidR="00E535A0" w:rsidRDefault="00C953F5">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recommendations were made:</w:t>
      </w: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IMI needs to finalise and implement an articulated communication strategy with clear and measurable goals and objectives, addressing both the key stakeholders and a wider audience.</w:t>
      </w:r>
    </w:p>
    <w:p w:rsidR="00E535A0" w:rsidRDefault="00E535A0">
      <w:pPr>
        <w:autoSpaceDE w:val="0"/>
        <w:autoSpaceDN w:val="0"/>
        <w:adjustRightInd w:val="0"/>
        <w:spacing w:after="24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A</w:t>
      </w:r>
      <w:r>
        <w:rPr>
          <w:rFonts w:ascii="Times New Roman" w:hAnsi="Times New Roman" w:cs="Times New Roman"/>
          <w:noProof/>
          <w:sz w:val="24"/>
          <w:szCs w:val="24"/>
        </w:rPr>
        <w:t>longside the existing Key Performance Indicators (KPI), aggregated KPIs need to be developed and measured in order to quantitatively demonstrate the IMI impacts and socioeconomic benefits.</w:t>
      </w:r>
    </w:p>
    <w:p w:rsidR="00E535A0" w:rsidRDefault="00E535A0">
      <w:pPr>
        <w:autoSpaceDE w:val="0"/>
        <w:autoSpaceDN w:val="0"/>
        <w:adjustRightInd w:val="0"/>
        <w:spacing w:after="24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IMI should make an additional effort to increase engagement from</w:t>
      </w:r>
      <w:r>
        <w:rPr>
          <w:rFonts w:ascii="Times New Roman" w:hAnsi="Times New Roman" w:cs="Times New Roman"/>
          <w:noProof/>
          <w:sz w:val="24"/>
          <w:szCs w:val="24"/>
        </w:rPr>
        <w:t xml:space="preserve"> a wider range of industry stakeholders.</w:t>
      </w:r>
    </w:p>
    <w:p w:rsidR="00E535A0" w:rsidRDefault="00E535A0">
      <w:pPr>
        <w:autoSpaceDE w:val="0"/>
        <w:autoSpaceDN w:val="0"/>
        <w:adjustRightInd w:val="0"/>
        <w:spacing w:after="24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The IMI Executive Office should seek further ways of reducing bureaucracy and ensure that it has the optimal organisational structure for the tasks ahead.</w:t>
      </w:r>
    </w:p>
    <w:p w:rsidR="00E535A0" w:rsidRDefault="00E535A0">
      <w:pPr>
        <w:autoSpaceDE w:val="0"/>
        <w:autoSpaceDN w:val="0"/>
        <w:adjustRightInd w:val="0"/>
        <w:spacing w:after="24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IMI should seek to maximize the potential of its advis</w:t>
      </w:r>
      <w:r>
        <w:rPr>
          <w:rFonts w:ascii="Times New Roman" w:hAnsi="Times New Roman" w:cs="Times New Roman"/>
          <w:noProof/>
          <w:sz w:val="24"/>
          <w:szCs w:val="24"/>
        </w:rPr>
        <w:t>ory bodies to gain support for the remaining calls and other activities at all levels.</w:t>
      </w:r>
    </w:p>
    <w:p w:rsidR="00E535A0" w:rsidRDefault="00E535A0">
      <w:pPr>
        <w:autoSpaceDE w:val="0"/>
        <w:autoSpaceDN w:val="0"/>
        <w:adjustRightInd w:val="0"/>
        <w:spacing w:after="24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24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IMI needs to plan for and design new and more flexible funding mechanisms to ensure the sustainability of current and future projects, where appropriate.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eastAsiaTheme="majorEastAsia" w:hAnsi="Times New Roman" w:cs="Times New Roman"/>
          <w:b/>
          <w:bCs/>
          <w:iCs/>
          <w:noProof/>
          <w:sz w:val="24"/>
          <w:szCs w:val="24"/>
        </w:rPr>
      </w:pPr>
      <w:r>
        <w:rPr>
          <w:rFonts w:ascii="Times New Roman" w:eastAsiaTheme="majorEastAsia" w:hAnsi="Times New Roman" w:cs="Times New Roman"/>
          <w:b/>
          <w:bCs/>
          <w:iCs/>
          <w:noProof/>
          <w:sz w:val="24"/>
          <w:szCs w:val="24"/>
        </w:rPr>
        <w:br w:type="page"/>
      </w:r>
    </w:p>
    <w:p w:rsidR="00E535A0" w:rsidRDefault="00C953F5">
      <w:pPr>
        <w:keepNext/>
        <w:keepLines/>
        <w:spacing w:before="200" w:after="0" w:line="240" w:lineRule="auto"/>
        <w:jc w:val="both"/>
        <w:outlineLvl w:val="3"/>
        <w:rPr>
          <w:rFonts w:ascii="Times New Roman" w:eastAsiaTheme="majorEastAsia" w:hAnsi="Times New Roman" w:cs="Times New Roman"/>
          <w:b/>
          <w:bCs/>
          <w:iCs/>
          <w:noProof/>
          <w:sz w:val="24"/>
          <w:szCs w:val="24"/>
        </w:rPr>
      </w:pPr>
      <w:r>
        <w:rPr>
          <w:rFonts w:ascii="Times New Roman" w:eastAsiaTheme="majorEastAsia" w:hAnsi="Times New Roman" w:cs="Times New Roman"/>
          <w:b/>
          <w:bCs/>
          <w:iCs/>
          <w:noProof/>
          <w:sz w:val="24"/>
          <w:szCs w:val="24"/>
        </w:rPr>
        <w:t xml:space="preserve">15.2. </w:t>
      </w:r>
      <w:r>
        <w:rPr>
          <w:rFonts w:ascii="Times New Roman" w:eastAsiaTheme="majorEastAsia" w:hAnsi="Times New Roman" w:cs="Times New Roman"/>
          <w:b/>
          <w:bCs/>
          <w:iCs/>
          <w:noProof/>
          <w:sz w:val="24"/>
          <w:szCs w:val="24"/>
        </w:rPr>
        <w:t>Clean Sky</w:t>
      </w:r>
    </w:p>
    <w:p w:rsidR="00E535A0" w:rsidRDefault="00C953F5">
      <w:pPr>
        <w:keepNext/>
        <w:keepLines/>
        <w:spacing w:before="200" w:after="0" w:line="240" w:lineRule="auto"/>
        <w:jc w:val="both"/>
        <w:outlineLvl w:val="3"/>
        <w:rPr>
          <w:rFonts w:ascii="Times New Roman" w:eastAsiaTheme="majorEastAsia" w:hAnsi="Times New Roman" w:cs="Times New Roman"/>
          <w:b/>
          <w:bCs/>
          <w:i/>
          <w:iCs/>
          <w:noProof/>
          <w:sz w:val="24"/>
          <w:szCs w:val="24"/>
        </w:rPr>
      </w:pPr>
      <w:r>
        <w:rPr>
          <w:rFonts w:ascii="Times New Roman" w:eastAsia="Times New Roman" w:hAnsi="Times New Roman" w:cs="Times New Roman"/>
          <w:bCs/>
          <w:iCs/>
          <w:noProof/>
          <w:sz w:val="24"/>
          <w:szCs w:val="24"/>
          <w:lang w:eastAsia="en-GB"/>
        </w:rPr>
        <w:t xml:space="preserve">Clean Sky was implemented under the FP7 Cooperation </w:t>
      </w:r>
      <w:r>
        <w:rPr>
          <w:rFonts w:ascii="Times New Roman" w:eastAsia="Times New Roman" w:hAnsi="Times New Roman" w:cs="Times New Roman"/>
          <w:bCs/>
          <w:iCs/>
          <w:noProof/>
          <w:sz w:val="24"/>
          <w:szCs w:val="24"/>
          <w:lang w:val="en" w:eastAsia="en-GB"/>
        </w:rPr>
        <w:t xml:space="preserve">Transport theme. </w:t>
      </w:r>
    </w:p>
    <w:p w:rsidR="00E535A0" w:rsidRDefault="00C953F5">
      <w:pPr>
        <w:spacing w:before="100" w:beforeAutospacing="1" w:after="100" w:afterAutospacing="1" w:line="240" w:lineRule="auto"/>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b/>
          <w:bCs/>
          <w:noProof/>
          <w:sz w:val="24"/>
          <w:szCs w:val="24"/>
          <w:lang w:val="en" w:eastAsia="en-GB"/>
        </w:rPr>
        <w:t xml:space="preserve">Objective: </w:t>
      </w:r>
      <w:r>
        <w:rPr>
          <w:rFonts w:ascii="Times New Roman" w:eastAsia="Times New Roman" w:hAnsi="Times New Roman" w:cs="Times New Roman"/>
          <w:noProof/>
          <w:sz w:val="24"/>
          <w:szCs w:val="24"/>
          <w:lang w:val="en" w:eastAsia="en-GB"/>
        </w:rPr>
        <w:t>To develop environmentally-friendly and cost efficient aircraft</w:t>
      </w:r>
      <w:r>
        <w:rPr>
          <w:rFonts w:ascii="Times New Roman" w:eastAsia="Times New Roman" w:hAnsi="Times New Roman" w:cs="Times New Roman"/>
          <w:noProof/>
          <w:sz w:val="24"/>
          <w:szCs w:val="24"/>
          <w:vertAlign w:val="superscript"/>
          <w:lang w:val="en" w:eastAsia="en-GB"/>
        </w:rPr>
        <w:footnoteReference w:id="65"/>
      </w:r>
      <w:r>
        <w:rPr>
          <w:rFonts w:ascii="Times New Roman" w:eastAsia="Times New Roman" w:hAnsi="Times New Roman" w:cs="Times New Roman"/>
          <w:noProof/>
          <w:sz w:val="24"/>
          <w:szCs w:val="24"/>
          <w:lang w:val="en" w:eastAsia="en-GB"/>
        </w:rPr>
        <w:t xml:space="preserve">. </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In aeronautics and air transport, the identification of certain needs within the research agenda l</w:t>
      </w:r>
      <w:r>
        <w:rPr>
          <w:rFonts w:ascii="Times New Roman" w:hAnsi="Times New Roman" w:cs="Times New Roman"/>
          <w:noProof/>
          <w:sz w:val="24"/>
          <w:szCs w:val="24"/>
        </w:rPr>
        <w:t>ead to establishing the Clean Sky Joint Undertaking (CSJU). CSJU is a PPP between the European Commission and the aeronautics industry. The founding members of the Clean Sky JU are the European Union, represented by the European Commission and 12 Integrate</w:t>
      </w:r>
      <w:r>
        <w:rPr>
          <w:rFonts w:ascii="Times New Roman" w:hAnsi="Times New Roman" w:cs="Times New Roman"/>
          <w:noProof/>
          <w:sz w:val="24"/>
          <w:szCs w:val="24"/>
        </w:rPr>
        <w:t>d Technology Demonstrator (ITD) leaders and their Associates. They represent 86 organisations in 16 countries, among which 54 industrial partners (including 20 SMEs), 15 RTOs and 17 universities. The total budget of Clean Sky is € 1.6 billion, half of it c</w:t>
      </w:r>
      <w:r>
        <w:rPr>
          <w:rFonts w:ascii="Times New Roman" w:hAnsi="Times New Roman" w:cs="Times New Roman"/>
          <w:noProof/>
          <w:sz w:val="24"/>
          <w:szCs w:val="24"/>
        </w:rPr>
        <w:t>omes from the EC. Between 2009-2013, 14 calls have been published, covering more than 550 topics, funding 410 projects and involving more than 800 participants overall. The success rate of Clean Sky calls is of the order of 35%.</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its establishment, </w:t>
      </w:r>
      <w:r>
        <w:rPr>
          <w:rFonts w:ascii="Times New Roman" w:hAnsi="Times New Roman" w:cs="Times New Roman"/>
          <w:noProof/>
          <w:sz w:val="24"/>
          <w:szCs w:val="24"/>
        </w:rPr>
        <w:t>the Clean Sky JU is successfully stimulating developments towards the strategic environmental targets. The programme provides ground for radical new technological concepts that would otherwise be beyond the manageable risk of the private sector and gives t</w:t>
      </w:r>
      <w:r>
        <w:rPr>
          <w:rFonts w:ascii="Times New Roman" w:hAnsi="Times New Roman" w:cs="Times New Roman"/>
          <w:noProof/>
          <w:sz w:val="24"/>
          <w:szCs w:val="24"/>
        </w:rPr>
        <w:t>he necessary financial certainty and stability to the aviation sector and investors to develop and introduce game-changing innovations in timeframes otherwise unachievable. Clean Sky has established also links with the SESAR Joint Undertaking  which develo</w:t>
      </w:r>
      <w:r>
        <w:rPr>
          <w:rFonts w:ascii="Times New Roman" w:hAnsi="Times New Roman" w:cs="Times New Roman"/>
          <w:noProof/>
          <w:sz w:val="24"/>
          <w:szCs w:val="24"/>
        </w:rPr>
        <w:t>ps Air Traffic Management (ATM) technologies in line with the "Single European Sky" initiative of the Commission.</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first Interim Evaluation report of Clean Sky acknowledged that the programme was highly successful in attracting a high level and wide par</w:t>
      </w:r>
      <w:r>
        <w:rPr>
          <w:rFonts w:ascii="Times New Roman" w:hAnsi="Times New Roman" w:cs="Times New Roman"/>
          <w:noProof/>
          <w:sz w:val="24"/>
          <w:szCs w:val="24"/>
        </w:rPr>
        <w:t>ticipation from all EU key industries and a large number of SMEs. The report underlined that Clean Sky has led to new collaborations and the participation of new organisations thus enhancing European integration.</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Its Second Interim Evaluation concludes tha</w:t>
      </w:r>
      <w:r>
        <w:rPr>
          <w:rFonts w:ascii="Times New Roman" w:hAnsi="Times New Roman" w:cs="Times New Roman"/>
          <w:noProof/>
          <w:sz w:val="24"/>
          <w:szCs w:val="24"/>
        </w:rPr>
        <w:t>t:</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The Clean Sky JU has successfully demonstrated the principle of Public-Private Partnership in aeronautics, and has become a central element of the European aeronautic landscape.</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The JU has marked satisfactory progress towards meeting the objectives </w:t>
      </w:r>
      <w:r>
        <w:rPr>
          <w:rFonts w:ascii="Times New Roman" w:hAnsi="Times New Roman" w:cs="Times New Roman"/>
          <w:noProof/>
          <w:sz w:val="24"/>
          <w:szCs w:val="24"/>
        </w:rPr>
        <w:t>set. Notably, the technical development of the demonstrators is making satisfactory progress. The Panel believes that by the end of Clean Sky, the demonstration programmes will allow to provide evidence of integration of several technologies and to indicat</w:t>
      </w:r>
      <w:r>
        <w:rPr>
          <w:rFonts w:ascii="Times New Roman" w:hAnsi="Times New Roman" w:cs="Times New Roman"/>
          <w:noProof/>
          <w:sz w:val="24"/>
          <w:szCs w:val="24"/>
        </w:rPr>
        <w:t>e the potential benefits in a relevant operational environment.</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Clean Sky is tackling a major gap through the commitment of a critical mass of public and private resources towards the development of demonstrators. More lessons-learned from Joint Technolo</w:t>
      </w:r>
      <w:r>
        <w:rPr>
          <w:rFonts w:ascii="Times New Roman" w:hAnsi="Times New Roman" w:cs="Times New Roman"/>
          <w:noProof/>
          <w:sz w:val="24"/>
          <w:szCs w:val="24"/>
        </w:rPr>
        <w:t>gy Initiatives will be needed to support strategic discussions.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Overall, the large Clean Sky research and demonstrators portfolio is of high quality.</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While there is no doubt about the quality and the relevance of the technical activities carried out wi</w:t>
      </w:r>
      <w:r>
        <w:rPr>
          <w:rFonts w:ascii="Times New Roman" w:hAnsi="Times New Roman" w:cs="Times New Roman"/>
          <w:noProof/>
          <w:sz w:val="24"/>
          <w:szCs w:val="24"/>
        </w:rPr>
        <w:t>thin Clean Sky, the problems of resource allocation together with "slipping" schedules may jeopardize this quality is some cases.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The Clean Sky governance is efficient in the management of the programme and delivery of calls and projects. However, effort</w:t>
      </w:r>
      <w:r>
        <w:rPr>
          <w:rFonts w:ascii="Times New Roman" w:hAnsi="Times New Roman" w:cs="Times New Roman"/>
          <w:noProof/>
          <w:sz w:val="24"/>
          <w:szCs w:val="24"/>
        </w:rPr>
        <w:t>s for increasing the organisational efficiency, reducing the administrative burden and enhancing internal and external communication are still required.</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recommendations were made:</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Clean Sky has a lot of ground and flight demonstrations at p</w:t>
      </w:r>
      <w:r>
        <w:rPr>
          <w:rFonts w:ascii="Times New Roman" w:hAnsi="Times New Roman" w:cs="Times New Roman"/>
          <w:noProof/>
          <w:sz w:val="24"/>
          <w:szCs w:val="24"/>
        </w:rPr>
        <w:t>rogramme end.</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Significant attention should be paid towards the most critical and success factors for the programme. Careful monitoring and prioritization of available resources vs. remaining work and vs. technology environmental benefit towards demonstra</w:t>
      </w:r>
      <w:r>
        <w:rPr>
          <w:rFonts w:ascii="Times New Roman" w:hAnsi="Times New Roman" w:cs="Times New Roman"/>
          <w:noProof/>
          <w:sz w:val="24"/>
          <w:szCs w:val="24"/>
        </w:rPr>
        <w:t>tion is recommended.</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Progress towards environmental targets The Panel recommends a more transparent traceability between the ACARE goals and the specific contributions from Clean Sky.</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It is recommended to deepen the existing relationship with both SESA</w:t>
      </w:r>
      <w:r>
        <w:rPr>
          <w:rFonts w:ascii="Times New Roman" w:hAnsi="Times New Roman" w:cs="Times New Roman"/>
          <w:noProof/>
          <w:sz w:val="24"/>
          <w:szCs w:val="24"/>
        </w:rPr>
        <w:t xml:space="preserve">R Joint Undertaking and ACARE aiming to reach a better view within the JU at large about the airlines, Air Navigation Service Providers and other stakeholder communities. </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The Panel notes that, in some cases, the inappropriate choice of subcontractors ha</w:t>
      </w:r>
      <w:r>
        <w:rPr>
          <w:rFonts w:ascii="Times New Roman" w:hAnsi="Times New Roman" w:cs="Times New Roman"/>
          <w:noProof/>
          <w:sz w:val="24"/>
          <w:szCs w:val="24"/>
        </w:rPr>
        <w:t>s led to poor results relative to the project they are related to. The Panel therefore recommends the JU to investigate possible ways of improving the selection process of subcontractors.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Many projects will need a phase of technological development before </w:t>
      </w:r>
      <w:r>
        <w:rPr>
          <w:rFonts w:ascii="Times New Roman" w:hAnsi="Times New Roman" w:cs="Times New Roman"/>
          <w:noProof/>
          <w:sz w:val="24"/>
          <w:szCs w:val="24"/>
        </w:rPr>
        <w:t>they eventually result in an innovative marketable product or a service. Although it is still a very new initiative, our analysis of Clean Sky suggests that Joint Technology Initiatives are a very promising tool to fill this gap, bringing results up to the</w:t>
      </w:r>
      <w:r>
        <w:rPr>
          <w:rFonts w:ascii="Times New Roman" w:hAnsi="Times New Roman" w:cs="Times New Roman"/>
          <w:noProof/>
          <w:sz w:val="24"/>
          <w:szCs w:val="24"/>
        </w:rPr>
        <w:t xml:space="preserve"> demonstration stage. Clean Sky is tackling a major gap through the commitment of a critical mass of public and private resources towards the development of demonstrators. More lessons-learned from Joint Technology Initiatives will be needed to support str</w:t>
      </w:r>
      <w:r>
        <w:rPr>
          <w:rFonts w:ascii="Times New Roman" w:hAnsi="Times New Roman" w:cs="Times New Roman"/>
          <w:noProof/>
          <w:sz w:val="24"/>
          <w:szCs w:val="24"/>
        </w:rPr>
        <w:t>ategic discussions.</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Objectives</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Original objectives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Clean Sky objectives for the whole programme at the aircraft level are to reduce CO2 aircraft emission by around 20-40%, NOX by around 60% and noise by up to 10dB compared to year 2000 aircraft. These </w:t>
      </w:r>
      <w:r>
        <w:rPr>
          <w:rFonts w:ascii="Times New Roman" w:hAnsi="Times New Roman" w:cs="Times New Roman"/>
          <w:noProof/>
          <w:sz w:val="24"/>
          <w:szCs w:val="24"/>
        </w:rPr>
        <w:t>objectives have been identified as a sum of different objectives by aircraft type.</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Evolution of objectives to respond to the crisis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Clean Sky JU lifecycle some changes in aircraft fleet replacement strategy were introduced in the sector. In 2007</w:t>
      </w:r>
      <w:r>
        <w:rPr>
          <w:rFonts w:ascii="Times New Roman" w:hAnsi="Times New Roman" w:cs="Times New Roman"/>
          <w:noProof/>
          <w:sz w:val="24"/>
          <w:szCs w:val="24"/>
        </w:rPr>
        <w:t>, when the CS objectives, key demonstrators and relevant schedules were defined, the fleet replacement for ‘single aisle’ aircraft was scheduled for 2018-2020. Due to the steep increase of oil prices, the introduction of new generation of single aisle airc</w:t>
      </w:r>
      <w:r>
        <w:rPr>
          <w:rFonts w:ascii="Times New Roman" w:hAnsi="Times New Roman" w:cs="Times New Roman"/>
          <w:noProof/>
          <w:sz w:val="24"/>
          <w:szCs w:val="24"/>
        </w:rPr>
        <w:t xml:space="preserve">raft was postponed to 2025 and beyond and a new intermediate generation of aircraft is introduced bringing ca 15% fuel efficiency over the current year 2000 generation. The future R&amp;D investment in the sector will be benchmarked against the performance of </w:t>
      </w:r>
      <w:r>
        <w:rPr>
          <w:rFonts w:ascii="Times New Roman" w:hAnsi="Times New Roman" w:cs="Times New Roman"/>
          <w:noProof/>
          <w:sz w:val="24"/>
          <w:szCs w:val="24"/>
        </w:rPr>
        <w:t>this new generation. This market change has also led to slight modifications in the Clean Sky technical programme without changing the overall objectives.</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Clean Sky contribute to the competitiveness of European Transport industry?</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aero</w:t>
      </w:r>
      <w:r>
        <w:rPr>
          <w:rFonts w:ascii="Times New Roman" w:hAnsi="Times New Roman" w:cs="Times New Roman"/>
          <w:noProof/>
          <w:sz w:val="24"/>
          <w:szCs w:val="24"/>
        </w:rPr>
        <w:t>nautics sector is one of the world leaders in terms of production, employment and exports but despite this leadership, the sector evolves in a complex international environment and the EU aeronautics industry is increasingly confronted with strong internat</w:t>
      </w:r>
      <w:r>
        <w:rPr>
          <w:rFonts w:ascii="Times New Roman" w:hAnsi="Times New Roman" w:cs="Times New Roman"/>
          <w:noProof/>
          <w:sz w:val="24"/>
          <w:szCs w:val="24"/>
        </w:rPr>
        <w:t>ional competition from traditional or emerging competitors. Today, the fuel efficiency is the major competitive differentiator and the constant high fuel prices will drive the demand for more efficient aircraft in the future. Clean Sky succeeded in increas</w:t>
      </w:r>
      <w:r>
        <w:rPr>
          <w:rFonts w:ascii="Times New Roman" w:hAnsi="Times New Roman" w:cs="Times New Roman"/>
          <w:noProof/>
          <w:sz w:val="24"/>
          <w:szCs w:val="24"/>
        </w:rPr>
        <w:t>ing European competitiveness in the aeronautics sector by developing new technologies integrated at system level addressing environmental goals that greatly enhance EU industry competitiveness, since greater energy efficiency implies reducing operating cos</w:t>
      </w:r>
      <w:r>
        <w:rPr>
          <w:rFonts w:ascii="Times New Roman" w:hAnsi="Times New Roman" w:cs="Times New Roman"/>
          <w:noProof/>
          <w:sz w:val="24"/>
          <w:szCs w:val="24"/>
        </w:rPr>
        <w:t xml:space="preserve">ts and result in higher demand. </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Clean Sky contribute to increase European and international wide S&amp;T collaboration and networking for sharing R&amp;D risks and costs?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Clean Sky programme has achieved critical mass bringing together all partners an</w:t>
      </w:r>
      <w:r>
        <w:rPr>
          <w:rFonts w:ascii="Times New Roman" w:hAnsi="Times New Roman" w:cs="Times New Roman"/>
          <w:noProof/>
          <w:sz w:val="24"/>
          <w:szCs w:val="24"/>
        </w:rPr>
        <w:t>d complementary knowledge resources required to achieve its objectives. In total, more than 500 participants took part in the programme and more than half of the beneficiaries were newcomers in European funded research programmes.</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Clean Sky contrib</w:t>
      </w:r>
      <w:r>
        <w:rPr>
          <w:rFonts w:ascii="Times New Roman" w:hAnsi="Times New Roman" w:cs="Times New Roman"/>
          <w:b/>
          <w:noProof/>
          <w:sz w:val="24"/>
          <w:szCs w:val="24"/>
        </w:rPr>
        <w:t>ute to improve the coordination of European, national and regional Transport research policies?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Clean Sky Programme worked in coordination with the national funding schemes for research. The scale and scope of the research agenda for greening of aircra</w:t>
      </w:r>
      <w:r>
        <w:rPr>
          <w:rFonts w:ascii="Times New Roman" w:hAnsi="Times New Roman" w:cs="Times New Roman"/>
          <w:noProof/>
          <w:sz w:val="24"/>
          <w:szCs w:val="24"/>
        </w:rPr>
        <w:t>ft go beyond the borders and the capacity of individual Member States. Clean Sky supported the coordination of research policies by addressing in full the major technological advances due to the Pan-European nature of the aeronautics industry and brining a</w:t>
      </w:r>
      <w:r>
        <w:rPr>
          <w:rFonts w:ascii="Times New Roman" w:hAnsi="Times New Roman" w:cs="Times New Roman"/>
          <w:noProof/>
          <w:sz w:val="24"/>
          <w:szCs w:val="24"/>
        </w:rPr>
        <w:t>ll relevant European stakeholders cooperate in developing and maturing the most promising key technologies.</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How did Clean Sky strengthen the scientific excellence of basic research in Europe? </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Clean Sky aimed mainly at applied research with high levels of </w:t>
      </w:r>
      <w:r>
        <w:rPr>
          <w:rFonts w:ascii="Times New Roman" w:hAnsi="Times New Roman" w:cs="Times New Roman"/>
          <w:noProof/>
          <w:sz w:val="24"/>
          <w:szCs w:val="24"/>
        </w:rPr>
        <w:t>TRL. However, it stimulated new collaborations and the participation of new organisations into the EU Framework Programme.</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Clean Sky promote the development of European research careers and contribute to make Europe more attractive to the best rese</w:t>
      </w:r>
      <w:r>
        <w:rPr>
          <w:rFonts w:ascii="Times New Roman" w:hAnsi="Times New Roman" w:cs="Times New Roman"/>
          <w:b/>
          <w:noProof/>
          <w:sz w:val="24"/>
          <w:szCs w:val="24"/>
        </w:rPr>
        <w:t>archers?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nature of the Clean Sky programme, focused on demonstrators validating technologies at high TRL, helped to strengthen the synergies between researchers and industry. </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Clean Sky provide the knowledge-base needed to support key Community</w:t>
      </w:r>
      <w:r>
        <w:rPr>
          <w:rFonts w:ascii="Times New Roman" w:hAnsi="Times New Roman" w:cs="Times New Roman"/>
          <w:b/>
          <w:noProof/>
          <w:sz w:val="24"/>
          <w:szCs w:val="24"/>
        </w:rPr>
        <w:t xml:space="preserve"> policies?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Clean Sky supported the objectives of climate policy and resource efficiency. Since its establishment, the Clean Sky was successfully stimulating developments towards the strategic environmental targets. The programme allowed maximising technolo</w:t>
      </w:r>
      <w:r>
        <w:rPr>
          <w:rFonts w:ascii="Times New Roman" w:hAnsi="Times New Roman" w:cs="Times New Roman"/>
          <w:noProof/>
          <w:sz w:val="24"/>
          <w:szCs w:val="24"/>
        </w:rPr>
        <w:t>gical innovation which will help to address more ambitious objectives for air transport regarding not only environmental impact but also passenger mobility, following the Europe 2020 strategy, the Transport White Paper and the Europe’s Vision for Aviation,</w:t>
      </w:r>
      <w:r>
        <w:rPr>
          <w:rFonts w:ascii="Times New Roman" w:hAnsi="Times New Roman" w:cs="Times New Roman"/>
          <w:noProof/>
          <w:sz w:val="24"/>
          <w:szCs w:val="24"/>
        </w:rPr>
        <w:t xml:space="preserve"> Flightpath 2050.</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did Clean Sky increase availability, coordination and access in relation to top-level European scientific and technological infrastructure?</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success of the Clean Sky technological programme strongly relied on the availability and u</w:t>
      </w:r>
      <w:r>
        <w:rPr>
          <w:rFonts w:ascii="Times New Roman" w:hAnsi="Times New Roman" w:cs="Times New Roman"/>
          <w:noProof/>
          <w:sz w:val="24"/>
          <w:szCs w:val="24"/>
        </w:rPr>
        <w:t>se of the first class aeronautics research infrastructure; therefore, all the main European research infrastructure providers in the sector have been strongly involved in the design and the implementation of the Clean Sky programme. That has helped already</w:t>
      </w:r>
      <w:r>
        <w:rPr>
          <w:rFonts w:ascii="Times New Roman" w:hAnsi="Times New Roman" w:cs="Times New Roman"/>
          <w:noProof/>
          <w:sz w:val="24"/>
          <w:szCs w:val="24"/>
        </w:rPr>
        <w:t xml:space="preserve"> from the early stages to ensure that the infrastructure capabilities, access and availability will be secured and contribute to the full implementation of the programme and the achievement of its objectives. From the infrastructure side it has helped to d</w:t>
      </w:r>
      <w:r>
        <w:rPr>
          <w:rFonts w:ascii="Times New Roman" w:hAnsi="Times New Roman" w:cs="Times New Roman"/>
          <w:noProof/>
          <w:sz w:val="24"/>
          <w:szCs w:val="24"/>
        </w:rPr>
        <w:t>evelop further the existing infrastructure and to use for testing the state of the art technologies.</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How much did Clean Sky contribute to job creation?</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this stage, it is difficult to quantify exactly the impact of Clean Sky on job creation. However, on </w:t>
      </w:r>
      <w:r>
        <w:rPr>
          <w:rFonts w:ascii="Times New Roman" w:hAnsi="Times New Roman" w:cs="Times New Roman"/>
          <w:noProof/>
          <w:sz w:val="24"/>
          <w:szCs w:val="24"/>
        </w:rPr>
        <w:t>a macroeconomic scale Clean Sky did contribute to the economic growth of Europe as the European air transport industry generates 3.1% of the European GDP directly and supported 5.1 million jobs in 2010 in Europe. Due to the growth forecast in the air trans</w:t>
      </w:r>
      <w:r>
        <w:rPr>
          <w:rFonts w:ascii="Times New Roman" w:hAnsi="Times New Roman" w:cs="Times New Roman"/>
          <w:noProof/>
          <w:sz w:val="24"/>
          <w:szCs w:val="24"/>
        </w:rPr>
        <w:t>port industry, this contribution is growing and therefore has an impact on the generation of new jobs through the better performance of the industry with more successful products resulting in a higher demand.</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do the results of Clean Sky cont</w:t>
      </w:r>
      <w:r>
        <w:rPr>
          <w:rFonts w:ascii="Times New Roman" w:hAnsi="Times New Roman" w:cs="Times New Roman"/>
          <w:b/>
          <w:noProof/>
          <w:sz w:val="24"/>
          <w:szCs w:val="24"/>
        </w:rPr>
        <w:t>ribute to the achievements of the new Commission's priorities?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Clean Sky contributed to the environmental and societal challenges by developing less polluting air transport and supported the competitiveness of the European aeronautics industry that depends</w:t>
      </w:r>
      <w:r>
        <w:rPr>
          <w:rFonts w:ascii="Times New Roman" w:hAnsi="Times New Roman" w:cs="Times New Roman"/>
          <w:noProof/>
          <w:sz w:val="24"/>
          <w:szCs w:val="24"/>
        </w:rPr>
        <w:t xml:space="preserve"> on the quality of products it delivers and in particular on the fuel efficiency of the proposed technologies.</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To what extent was Clean Sky coherent with other EU actions (CIP, ESF) and EU policy?</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Clean Sky set-up has allowed a good coordination with the M</w:t>
      </w:r>
      <w:r>
        <w:rPr>
          <w:rFonts w:ascii="Times New Roman" w:hAnsi="Times New Roman" w:cs="Times New Roman"/>
          <w:noProof/>
          <w:sz w:val="24"/>
          <w:szCs w:val="24"/>
        </w:rPr>
        <w:t>embers States and regions using the European Structural funds. Although, the responsibility of using the Structural Funds lies with national representatives, these representatives were actively involved in the Clean Sky programme governance through the Nat</w:t>
      </w:r>
      <w:r>
        <w:rPr>
          <w:rFonts w:ascii="Times New Roman" w:hAnsi="Times New Roman" w:cs="Times New Roman"/>
          <w:noProof/>
          <w:sz w:val="24"/>
          <w:szCs w:val="24"/>
        </w:rPr>
        <w:t>ional States Representatives Group. This allowed them to coordinate their ESF investments with the Clean Sky programme and among themselves. Therefore, in a number of occasions additional and complementary work to the Clean Sky programme towards the same a</w:t>
      </w:r>
      <w:r>
        <w:rPr>
          <w:rFonts w:ascii="Times New Roman" w:hAnsi="Times New Roman" w:cs="Times New Roman"/>
          <w:noProof/>
          <w:sz w:val="24"/>
          <w:szCs w:val="24"/>
        </w:rPr>
        <w:t>mbitious objectives of accelerating the introduction of energy efficient aircraft technologies has been done in a coordinated way. In addition, ESF investments have been instrumental in raising the capacity and capabilities of the stakeholders in less perf</w:t>
      </w:r>
      <w:r>
        <w:rPr>
          <w:rFonts w:ascii="Times New Roman" w:hAnsi="Times New Roman" w:cs="Times New Roman"/>
          <w:noProof/>
          <w:sz w:val="24"/>
          <w:szCs w:val="24"/>
        </w:rPr>
        <w:t xml:space="preserve">orming aeronautics regions to participate in the Clean Sky implementation and have contributed to the success of Clean Sky in bringing together more than 500 participants from more than 20 countries. </w:t>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Which was the added value of Clean Sky when compared wi</w:t>
      </w:r>
      <w:r>
        <w:rPr>
          <w:rFonts w:ascii="Times New Roman" w:hAnsi="Times New Roman" w:cs="Times New Roman"/>
          <w:b/>
          <w:noProof/>
          <w:sz w:val="24"/>
          <w:szCs w:val="24"/>
        </w:rPr>
        <w:t>th national transport research and innovation programmes?</w:t>
      </w:r>
    </w:p>
    <w:p w:rsidR="00E535A0" w:rsidRDefault="00C953F5">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national programmes funding is allocated at national level and programmes address individual national technology developments. However, the European aeronautics industry is a cross-border indust</w:t>
      </w:r>
      <w:r>
        <w:rPr>
          <w:rFonts w:ascii="Times New Roman" w:hAnsi="Times New Roman" w:cs="Times New Roman"/>
          <w:noProof/>
          <w:sz w:val="24"/>
          <w:szCs w:val="24"/>
        </w:rPr>
        <w:t>ry and achieving ambitious objectives and addressing major challenges in the sector can be achieved only at level higher than the individual members States actors with strong collaboration between major aeronautics players and other participants. In this c</w:t>
      </w:r>
      <w:r>
        <w:rPr>
          <w:rFonts w:ascii="Times New Roman" w:hAnsi="Times New Roman" w:cs="Times New Roman"/>
          <w:noProof/>
          <w:sz w:val="24"/>
          <w:szCs w:val="24"/>
        </w:rPr>
        <w:t>ontext, the Clean Sky programme allowed strengthening the collaboration at European level and enhancing European integration by bringing stakeholders together and achieving jointly agreed roadmaps.</w:t>
      </w:r>
    </w:p>
    <w:p w:rsidR="00E535A0" w:rsidRDefault="00C953F5">
      <w:pPr>
        <w:rPr>
          <w:rFonts w:ascii="Times New Roman" w:hAnsi="Times New Roman" w:cs="Times New Roman"/>
          <w:b/>
          <w:noProof/>
          <w:sz w:val="24"/>
          <w:szCs w:val="24"/>
        </w:rPr>
      </w:pPr>
      <w:r>
        <w:rPr>
          <w:rFonts w:ascii="Times New Roman" w:hAnsi="Times New Roman" w:cs="Times New Roman"/>
          <w:b/>
          <w:noProof/>
          <w:sz w:val="24"/>
          <w:szCs w:val="24"/>
        </w:rPr>
        <w:br w:type="page"/>
      </w:r>
    </w:p>
    <w:p w:rsidR="00E535A0" w:rsidRDefault="00C953F5">
      <w:pPr>
        <w:spacing w:before="100" w:beforeAutospacing="1" w:after="100" w:afterAutospacing="1"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Clean Sky in H2020: continuity or evolution?</w:t>
      </w:r>
    </w:p>
    <w:p w:rsidR="00E535A0" w:rsidRDefault="00C953F5">
      <w:pPr>
        <w:keepNext/>
        <w:keepLines/>
        <w:spacing w:before="200" w:after="0" w:line="240" w:lineRule="auto"/>
        <w:jc w:val="both"/>
        <w:outlineLvl w:val="3"/>
        <w:rPr>
          <w:rFonts w:ascii="Times New Roman" w:hAnsi="Times New Roman" w:cs="Times New Roman"/>
          <w:noProof/>
          <w:sz w:val="24"/>
          <w:szCs w:val="24"/>
        </w:rPr>
      </w:pPr>
      <w:r>
        <w:rPr>
          <w:rFonts w:ascii="Times New Roman" w:hAnsi="Times New Roman" w:cs="Times New Roman"/>
          <w:noProof/>
          <w:sz w:val="24"/>
          <w:szCs w:val="24"/>
        </w:rPr>
        <w:t xml:space="preserve">Clean Sky </w:t>
      </w:r>
      <w:r>
        <w:rPr>
          <w:rFonts w:ascii="Times New Roman" w:hAnsi="Times New Roman" w:cs="Times New Roman"/>
          <w:noProof/>
          <w:sz w:val="24"/>
          <w:szCs w:val="24"/>
        </w:rPr>
        <w:t>2, established under the Horizon 2020, will enable a natural continuation to the progress achieved in the first Clean Sky Programme and will bring a step further to the integration with full aircraft demonstrators so as to understand the full impact, inclu</w:t>
      </w:r>
      <w:r>
        <w:rPr>
          <w:rFonts w:ascii="Times New Roman" w:hAnsi="Times New Roman" w:cs="Times New Roman"/>
          <w:noProof/>
          <w:sz w:val="24"/>
          <w:szCs w:val="24"/>
        </w:rPr>
        <w:t>ding risks and synergies of the combination of innovative technologies. This would allow maximising technological innovation which will help to address more ambitious objectives for air transport regarding environmental impact and passenger mobility, follo</w:t>
      </w:r>
      <w:r>
        <w:rPr>
          <w:rFonts w:ascii="Times New Roman" w:hAnsi="Times New Roman" w:cs="Times New Roman"/>
          <w:noProof/>
          <w:sz w:val="24"/>
          <w:szCs w:val="24"/>
        </w:rPr>
        <w:t>wing the Europe 2020 strategy, the Transport White Paper, Flightpath 2050 and is in line with the Horizon 2020 objectives.</w:t>
      </w:r>
    </w:p>
    <w:p w:rsidR="00E535A0" w:rsidRDefault="00C953F5">
      <w:pPr>
        <w:spacing w:line="240" w:lineRule="auto"/>
        <w:rPr>
          <w:rFonts w:eastAsia="Times New Roman"/>
          <w:b/>
          <w:bCs/>
          <w:iCs/>
          <w:noProof/>
          <w:szCs w:val="24"/>
          <w:lang w:val="en" w:eastAsia="en-GB"/>
        </w:rPr>
      </w:pPr>
      <w:r>
        <w:rPr>
          <w:rFonts w:eastAsia="Times New Roman"/>
          <w:b/>
          <w:bCs/>
          <w:iCs/>
          <w:noProof/>
          <w:szCs w:val="24"/>
          <w:lang w:val="en" w:eastAsia="en-GB"/>
        </w:rPr>
        <w:br w:type="page"/>
      </w:r>
    </w:p>
    <w:p w:rsidR="00E535A0" w:rsidRDefault="00C953F5">
      <w:pPr>
        <w:keepNext/>
        <w:keepLines/>
        <w:spacing w:before="200" w:after="0" w:line="240" w:lineRule="auto"/>
        <w:jc w:val="both"/>
        <w:outlineLvl w:val="3"/>
        <w:rPr>
          <w:rFonts w:ascii="Times New Roman" w:eastAsiaTheme="majorEastAsia" w:hAnsi="Times New Roman" w:cs="Times New Roman"/>
          <w:b/>
          <w:bCs/>
          <w:iCs/>
          <w:noProof/>
          <w:sz w:val="24"/>
          <w:szCs w:val="24"/>
        </w:rPr>
      </w:pPr>
      <w:r>
        <w:rPr>
          <w:rFonts w:ascii="Times New Roman" w:eastAsia="Times New Roman" w:hAnsi="Times New Roman" w:cs="Times New Roman"/>
          <w:b/>
          <w:bCs/>
          <w:iCs/>
          <w:noProof/>
          <w:sz w:val="24"/>
          <w:szCs w:val="24"/>
          <w:lang w:val="en" w:eastAsia="en-GB"/>
        </w:rPr>
        <w:t>15.3. Fuel Cells and Hydrogen Initiative (FCH)</w:t>
      </w:r>
    </w:p>
    <w:p w:rsidR="00E535A0" w:rsidRDefault="00C953F5">
      <w:pPr>
        <w:keepNext/>
        <w:keepLines/>
        <w:spacing w:before="200" w:after="0" w:line="240" w:lineRule="auto"/>
        <w:jc w:val="both"/>
        <w:outlineLvl w:val="3"/>
        <w:rPr>
          <w:rFonts w:ascii="Times New Roman" w:eastAsiaTheme="majorEastAsia" w:hAnsi="Times New Roman" w:cs="Times New Roman"/>
          <w:b/>
          <w:bCs/>
          <w:i/>
          <w:iCs/>
          <w:noProof/>
          <w:sz w:val="24"/>
          <w:szCs w:val="24"/>
        </w:rPr>
      </w:pPr>
      <w:r>
        <w:rPr>
          <w:rFonts w:ascii="Times New Roman" w:eastAsia="Times New Roman" w:hAnsi="Times New Roman" w:cs="Times New Roman"/>
          <w:bCs/>
          <w:iCs/>
          <w:noProof/>
          <w:sz w:val="24"/>
          <w:szCs w:val="24"/>
          <w:lang w:eastAsia="en-GB"/>
        </w:rPr>
        <w:t xml:space="preserve">The FCH JTI was implemented under the FP7 Cooperation </w:t>
      </w:r>
      <w:r>
        <w:rPr>
          <w:rFonts w:ascii="Times New Roman" w:eastAsia="Times New Roman" w:hAnsi="Times New Roman" w:cs="Times New Roman"/>
          <w:bCs/>
          <w:iCs/>
          <w:noProof/>
          <w:sz w:val="24"/>
          <w:szCs w:val="24"/>
          <w:lang w:val="en" w:eastAsia="en-GB"/>
        </w:rPr>
        <w:t xml:space="preserve">Energy theme.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
          <w:bCs/>
          <w:noProof/>
          <w:sz w:val="24"/>
          <w:szCs w:val="24"/>
          <w:lang w:val="en" w:eastAsia="en-GB"/>
        </w:rPr>
      </w:pPr>
      <w:r>
        <w:rPr>
          <w:rFonts w:ascii="Times New Roman" w:eastAsia="Times New Roman" w:hAnsi="Times New Roman" w:cs="Times New Roman"/>
          <w:noProof/>
          <w:sz w:val="24"/>
          <w:szCs w:val="24"/>
          <w:lang w:val="en" w:eastAsia="en-GB"/>
        </w:rPr>
        <w:t xml:space="preserve"> </w:t>
      </w:r>
      <w:r>
        <w:rPr>
          <w:rFonts w:ascii="Times New Roman" w:eastAsia="Times New Roman" w:hAnsi="Times New Roman" w:cs="Times New Roman"/>
          <w:b/>
          <w:bCs/>
          <w:noProof/>
          <w:sz w:val="24"/>
          <w:szCs w:val="24"/>
          <w:lang w:val="en" w:eastAsia="en-GB"/>
        </w:rPr>
        <w:t xml:space="preserve">Objective: </w:t>
      </w:r>
      <w:r>
        <w:rPr>
          <w:rFonts w:ascii="Times New Roman" w:eastAsia="Times New Roman" w:hAnsi="Times New Roman" w:cs="Times New Roman"/>
          <w:noProof/>
          <w:sz w:val="24"/>
          <w:szCs w:val="24"/>
          <w:lang w:val="en" w:eastAsia="en-GB"/>
        </w:rPr>
        <w:t xml:space="preserve">To </w:t>
      </w:r>
      <w:r>
        <w:rPr>
          <w:rFonts w:ascii="Times New Roman" w:eastAsia="Times New Roman" w:hAnsi="Times New Roman" w:cs="Times New Roman"/>
          <w:noProof/>
          <w:sz w:val="24"/>
          <w:szCs w:val="24"/>
          <w:lang w:val="en" w:eastAsia="en-GB"/>
        </w:rPr>
        <w:t>speed up the development of fuel cells and hydrogen technologies in Europe in order to enable their commercial deployment between 2010 and 2020</w:t>
      </w:r>
      <w:r>
        <w:rPr>
          <w:rFonts w:ascii="Times New Roman" w:eastAsia="Times New Roman" w:hAnsi="Times New Roman" w:cs="Times New Roman"/>
          <w:noProof/>
          <w:sz w:val="24"/>
          <w:szCs w:val="24"/>
          <w:vertAlign w:val="superscript"/>
          <w:lang w:val="en" w:eastAsia="en-GB"/>
        </w:rPr>
        <w:footnoteReference w:id="66"/>
      </w:r>
      <w:r>
        <w:rPr>
          <w:rFonts w:ascii="Times New Roman" w:eastAsia="Times New Roman" w:hAnsi="Times New Roman" w:cs="Times New Roman"/>
          <w:noProof/>
          <w:sz w:val="24"/>
          <w:szCs w:val="24"/>
          <w:lang w:val="en" w:eastAsia="en-GB"/>
        </w:rPr>
        <w:t xml:space="preserve">.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three members of the Fuel Cells and Hydrogen Joint Undertaking (FCH JU) are the European Commission, fuel</w:t>
      </w:r>
      <w:r>
        <w:rPr>
          <w:rFonts w:ascii="Times New Roman" w:hAnsi="Times New Roman" w:cs="Times New Roman"/>
          <w:noProof/>
          <w:sz w:val="24"/>
          <w:szCs w:val="24"/>
        </w:rPr>
        <w:t xml:space="preserve"> cell and hydrogen industries represented by the NEW Industry Grouping and the research community represented by Research Grouping N.ERGHY.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 contribution to the FCH JU was EUR 470 million (2008-2013) in cash, of which EUR 20 million are for adminis</w:t>
      </w:r>
      <w:r>
        <w:rPr>
          <w:rFonts w:ascii="Times New Roman" w:eastAsia="Calibri" w:hAnsi="Times New Roman" w:cs="Times New Roman"/>
          <w:noProof/>
          <w:sz w:val="24"/>
          <w:szCs w:val="24"/>
        </w:rPr>
        <w:t>trative purposes. The budget was contributed by the FP7 Themes “Energy” (accounting for 2/3 of the total budget), “Nanosciences, Nanotechnologies, Materials and New Production Technologies (NMP)”, “Transport (including Aeronautics)”, and “Environment (incl</w:t>
      </w:r>
      <w:r>
        <w:rPr>
          <w:rFonts w:ascii="Times New Roman" w:eastAsia="Calibri" w:hAnsi="Times New Roman" w:cs="Times New Roman"/>
          <w:noProof/>
          <w:sz w:val="24"/>
          <w:szCs w:val="24"/>
        </w:rPr>
        <w:t>uding Climate Change)”. The overall total budget of the FCH JU was EUR 940 million, including the private contributions.</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FCH JU has launched 7 calls for proposals between 2008-2013 (one per year, except 2 in 2013). Success rates for applicants were bet</w:t>
      </w:r>
      <w:r>
        <w:rPr>
          <w:rFonts w:ascii="Times New Roman" w:eastAsia="Calibri" w:hAnsi="Times New Roman" w:cs="Times New Roman"/>
          <w:noProof/>
          <w:sz w:val="24"/>
          <w:szCs w:val="24"/>
        </w:rPr>
        <w:t>ween 33% and 50% which is above the average for the FP7 Energy Theme.</w:t>
      </w:r>
    </w:p>
    <w:p w:rsidR="00E535A0" w:rsidRDefault="00C953F5">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Almost two third of all unique participants came from industry, accounting for around 60% of the total EU contribution (SMEs benefitted from 27% of the total funding). Research centres a</w:t>
      </w:r>
      <w:r>
        <w:rPr>
          <w:rFonts w:ascii="Times New Roman" w:eastAsia="Calibri" w:hAnsi="Times New Roman" w:cs="Times New Roman"/>
          <w:noProof/>
          <w:sz w:val="24"/>
          <w:szCs w:val="24"/>
        </w:rPr>
        <w:t>ccount for almost 15% of the total participations but received more than 20% of the total EU contribution because their participation rate has been particularly high (on average, one single research centre participated in more than 5 projects). Universitie</w:t>
      </w:r>
      <w:r>
        <w:rPr>
          <w:rFonts w:ascii="Times New Roman" w:eastAsia="Calibri" w:hAnsi="Times New Roman" w:cs="Times New Roman"/>
          <w:noProof/>
          <w:sz w:val="24"/>
          <w:szCs w:val="24"/>
        </w:rPr>
        <w:t>s represent slightly above 15% in terms of total participations and unique participants receiving around 11% of the total budget. Public bodies received by far the highest EU contribution per participation (because they were mainly involved in transport/in</w:t>
      </w:r>
      <w:r>
        <w:rPr>
          <w:rFonts w:ascii="Times New Roman" w:eastAsia="Calibri" w:hAnsi="Times New Roman" w:cs="Times New Roman"/>
          <w:noProof/>
          <w:sz w:val="24"/>
          <w:szCs w:val="24"/>
        </w:rPr>
        <w:t xml:space="preserve">frastructure demonstration projects), followed by industry participants. </w:t>
      </w:r>
    </w:p>
    <w:p w:rsidR="00E535A0" w:rsidRDefault="00C953F5">
      <w:pPr>
        <w:spacing w:line="240" w:lineRule="auto"/>
        <w:jc w:val="both"/>
        <w:rPr>
          <w:rFonts w:ascii="Times New Roman" w:eastAsia="Calibri" w:hAnsi="Times New Roman" w:cs="Times New Roman"/>
          <w:i/>
          <w:noProof/>
          <w:sz w:val="24"/>
          <w:szCs w:val="24"/>
          <w:u w:val="single"/>
        </w:rPr>
      </w:pP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Given the fact that the JU launched its first call only in 2008, the following report on achievements can only draw from a small sample of well-advanced/finished projects).</w:t>
      </w:r>
      <w:r>
        <w:rPr>
          <w:rFonts w:ascii="Times New Roman" w:eastAsia="Calibri" w:hAnsi="Times New Roman" w:cs="Times New Roman"/>
          <w:i/>
          <w:noProof/>
          <w:sz w:val="24"/>
          <w:szCs w:val="24"/>
          <w:u w:val="single"/>
        </w:rPr>
        <w:t xml:space="preserve">  </w:t>
      </w:r>
    </w:p>
    <w:p w:rsidR="00E535A0" w:rsidRDefault="00C953F5">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As of</w:t>
      </w:r>
      <w:r>
        <w:rPr>
          <w:rFonts w:ascii="Times New Roman" w:eastAsia="Calibri" w:hAnsi="Times New Roman" w:cs="Times New Roman"/>
          <w:noProof/>
          <w:sz w:val="24"/>
          <w:szCs w:val="24"/>
        </w:rPr>
        <w:t xml:space="preserve"> 2013, FCH JU-funded projects have produced almost 70 research publications in peers reviewed journals with high citation index (from 9 finished projects) and 12 patent applications (from 4 finished projects)</w:t>
      </w:r>
      <w:r>
        <w:rPr>
          <w:rFonts w:ascii="Times New Roman" w:eastAsia="Calibri" w:hAnsi="Times New Roman" w:cs="Times New Roman"/>
          <w:i/>
          <w:noProof/>
          <w:sz w:val="24"/>
          <w:szCs w:val="24"/>
          <w:vertAlign w:val="superscript"/>
        </w:rPr>
        <w:t xml:space="preserve"> </w:t>
      </w:r>
      <w:r>
        <w:rPr>
          <w:rFonts w:ascii="Times New Roman" w:eastAsia="Calibri" w:hAnsi="Times New Roman" w:cs="Times New Roman"/>
          <w:noProof/>
          <w:sz w:val="24"/>
          <w:szCs w:val="24"/>
          <w:vertAlign w:val="superscript"/>
        </w:rPr>
        <w:footnoteReference w:id="67"/>
      </w:r>
      <w:r>
        <w:rPr>
          <w:rFonts w:ascii="Times New Roman" w:eastAsia="Calibri" w:hAnsi="Times New Roman" w:cs="Times New Roman"/>
          <w:noProof/>
          <w:sz w:val="24"/>
          <w:szCs w:val="24"/>
        </w:rPr>
        <w:t>.</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FCH transport demonstration projects will se</w:t>
      </w:r>
      <w:r>
        <w:rPr>
          <w:rFonts w:ascii="Times New Roman" w:eastAsia="Calibri" w:hAnsi="Times New Roman" w:cs="Times New Roman"/>
          <w:noProof/>
          <w:sz w:val="24"/>
          <w:szCs w:val="24"/>
        </w:rPr>
        <w:t xml:space="preserve">e 150 cars and 45 buses deployed through projects financed over the 2008-2013 period. In addition, at least 20 hydrogen refuelling stations will be realised through FCH JU-funded projects.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stationary applications sector, deployment of micro-CHP (re</w:t>
      </w:r>
      <w:r>
        <w:rPr>
          <w:rFonts w:ascii="Times New Roman" w:eastAsia="Calibri" w:hAnsi="Times New Roman" w:cs="Times New Roman"/>
          <w:noProof/>
          <w:sz w:val="24"/>
          <w:szCs w:val="24"/>
        </w:rPr>
        <w:t xml:space="preserve">sidential) units through the FCH JU programme alone is expected to exceed the EU 2015 target of 1000 units.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terms of material handling vehicles (MHVs), over 400 MHV units or 25% of the EU 2015 target, will be met through FCH JU projects under the 7</w:t>
      </w:r>
      <w:r>
        <w:rPr>
          <w:rFonts w:ascii="Times New Roman" w:eastAsia="Calibri" w:hAnsi="Times New Roman" w:cs="Times New Roman"/>
          <w:noProof/>
          <w:sz w:val="24"/>
          <w:szCs w:val="24"/>
          <w:vertAlign w:val="superscript"/>
        </w:rPr>
        <w:t>th</w:t>
      </w:r>
      <w:r>
        <w:rPr>
          <w:rFonts w:ascii="Times New Roman" w:eastAsia="Calibri" w:hAnsi="Times New Roman" w:cs="Times New Roman"/>
          <w:noProof/>
          <w:sz w:val="24"/>
          <w:szCs w:val="24"/>
        </w:rPr>
        <w:t xml:space="preserve"> F</w:t>
      </w:r>
      <w:r>
        <w:rPr>
          <w:rFonts w:ascii="Times New Roman" w:eastAsia="Calibri" w:hAnsi="Times New Roman" w:cs="Times New Roman"/>
          <w:noProof/>
          <w:sz w:val="24"/>
          <w:szCs w:val="24"/>
        </w:rPr>
        <w:t>ramework Program.</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creation of the FCH JU has been an achievement as such because it has served as a signal of EU commitment and policy direction in the way of FCH technologies, while also providing stable funding – even in times of economic crisis – to</w:t>
      </w:r>
      <w:r>
        <w:rPr>
          <w:rFonts w:ascii="Times New Roman" w:eastAsia="Calibri" w:hAnsi="Times New Roman" w:cs="Times New Roman"/>
          <w:noProof/>
          <w:sz w:val="24"/>
          <w:szCs w:val="24"/>
        </w:rPr>
        <w:t xml:space="preserve"> support research and cost reductions in the sector.</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Although it is difficult to separate the commercial and technical progress in the sector from influences other than the FCH JU, a survey</w:t>
      </w:r>
      <w:r>
        <w:rPr>
          <w:rFonts w:ascii="Times New Roman" w:eastAsia="Calibri" w:hAnsi="Times New Roman" w:cs="Times New Roman"/>
          <w:noProof/>
          <w:sz w:val="24"/>
          <w:szCs w:val="24"/>
          <w:vertAlign w:val="superscript"/>
        </w:rPr>
        <w:footnoteReference w:id="68"/>
      </w:r>
      <w:r>
        <w:rPr>
          <w:rFonts w:ascii="Times New Roman" w:eastAsia="Calibri" w:hAnsi="Times New Roman" w:cs="Times New Roman"/>
          <w:noProof/>
          <w:sz w:val="24"/>
          <w:szCs w:val="24"/>
        </w:rPr>
        <w:t xml:space="preserve"> of companies involved in FCH showed that the FCH JU has had signi</w:t>
      </w:r>
      <w:r>
        <w:rPr>
          <w:rFonts w:ascii="Times New Roman" w:eastAsia="Calibri" w:hAnsi="Times New Roman" w:cs="Times New Roman"/>
          <w:noProof/>
          <w:sz w:val="24"/>
          <w:szCs w:val="24"/>
        </w:rPr>
        <w:t>ficant real impact</w:t>
      </w:r>
      <w:r>
        <w:rPr>
          <w:rFonts w:ascii="Times New Roman" w:eastAsia="Calibri" w:hAnsi="Times New Roman" w:cs="Times New Roman"/>
          <w:noProof/>
          <w:sz w:val="24"/>
          <w:szCs w:val="24"/>
          <w:vertAlign w:val="superscript"/>
        </w:rPr>
        <w:footnoteReference w:id="69"/>
      </w:r>
      <w:r>
        <w:rPr>
          <w:rFonts w:ascii="Times New Roman" w:eastAsia="Calibri" w:hAnsi="Times New Roman" w:cs="Times New Roman"/>
          <w:noProof/>
          <w:sz w:val="24"/>
          <w:szCs w:val="24"/>
        </w:rPr>
        <w:t xml:space="preserve">: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Respondents estimated the number of jobs had been increasing by about 6% per year since 2007, to around 4,000 full-time equivalents in 2013;</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number of patents granted in the EU to European companies for FCH showed a 16% annual inc</w:t>
      </w:r>
      <w:r>
        <w:rPr>
          <w:rFonts w:ascii="Times New Roman" w:eastAsia="Calibri" w:hAnsi="Times New Roman" w:cs="Times New Roman"/>
          <w:noProof/>
          <w:sz w:val="24"/>
          <w:szCs w:val="24"/>
        </w:rPr>
        <w:t>rease compared to the average annual growth for all EU industries of 1.5%;</w:t>
      </w:r>
    </w:p>
    <w:p w:rsidR="00E535A0" w:rsidRDefault="00C953F5">
      <w:pPr>
        <w:tabs>
          <w:tab w:val="num" w:pos="283"/>
        </w:tabs>
        <w:spacing w:after="240" w:line="240" w:lineRule="auto"/>
        <w:ind w:left="283"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Annual turnover of respondents increased by 10% per annum;</w:t>
      </w:r>
    </w:p>
    <w:p w:rsidR="00E535A0" w:rsidRDefault="00C953F5">
      <w:pPr>
        <w:tabs>
          <w:tab w:val="num" w:pos="283"/>
        </w:tabs>
        <w:spacing w:after="240" w:line="240" w:lineRule="auto"/>
        <w:ind w:left="283"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R&amp;D expenditures of respondents increased by 8% p.a.,</w:t>
      </w:r>
    </w:p>
    <w:p w:rsidR="00E535A0" w:rsidRDefault="00C953F5">
      <w:pPr>
        <w:tabs>
          <w:tab w:val="num" w:pos="283"/>
        </w:tabs>
        <w:spacing w:after="240" w:line="240" w:lineRule="auto"/>
        <w:ind w:left="283" w:hanging="28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Market deployment expenditures of respondents increased by 6% p.a.</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Furthermore, respondents expected that turnover would increase on average by 35% per year towards 2020 and research expenditures by 12% per annum; the fact that turnover is outpacing RD&amp;D expenditures is an indication of impending commercialisation.</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ma</w:t>
      </w:r>
      <w:r>
        <w:rPr>
          <w:rFonts w:ascii="Times New Roman" w:eastAsia="Calibri" w:hAnsi="Times New Roman" w:cs="Times New Roman"/>
          <w:noProof/>
          <w:sz w:val="24"/>
          <w:szCs w:val="24"/>
        </w:rPr>
        <w:t>in achievement in transportation and refuelling is the coordinated deployment of vehicles and infrastructure generating a base for further development. In this manner, the FCH JU has helped Europe to a leading position in fuel-cell technology for the autom</w:t>
      </w:r>
      <w:r>
        <w:rPr>
          <w:rFonts w:ascii="Times New Roman" w:eastAsia="Calibri" w:hAnsi="Times New Roman" w:cs="Times New Roman"/>
          <w:noProof/>
          <w:sz w:val="24"/>
          <w:szCs w:val="24"/>
        </w:rPr>
        <w:t xml:space="preserve">otive industry. Other areas have proved more challenging and innovation has mainly been incremental and at the level of components.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FCH JU has succeeded generally in maintaining Europe in a satisfactory position compared to international competitors, </w:t>
      </w:r>
      <w:r>
        <w:rPr>
          <w:rFonts w:ascii="Times New Roman" w:eastAsia="Calibri" w:hAnsi="Times New Roman" w:cs="Times New Roman"/>
          <w:noProof/>
          <w:sz w:val="24"/>
          <w:szCs w:val="24"/>
        </w:rPr>
        <w:t>but the positioning varies by application areas: it is strongest in mobility and good in hydrogen production and storage.</w:t>
      </w:r>
    </w:p>
    <w:p w:rsidR="00E535A0" w:rsidRDefault="00E535A0">
      <w:pPr>
        <w:tabs>
          <w:tab w:val="num" w:pos="0"/>
        </w:tabs>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tabs>
          <w:tab w:val="num" w:pos="0"/>
        </w:tabs>
        <w:autoSpaceDE w:val="0"/>
        <w:autoSpaceDN w:val="0"/>
        <w:adjustRightInd w:val="0"/>
        <w:spacing w:after="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The second independent interim evaluation of the FCH JU</w:t>
      </w:r>
      <w:r>
        <w:rPr>
          <w:rFonts w:ascii="Times New Roman" w:hAnsi="Times New Roman" w:cs="Times New Roman"/>
          <w:noProof/>
          <w:sz w:val="24"/>
          <w:szCs w:val="24"/>
        </w:rPr>
        <w:t xml:space="preserve"> concludes that:</w:t>
      </w:r>
    </w:p>
    <w:p w:rsidR="00E535A0" w:rsidRDefault="00E535A0">
      <w:pPr>
        <w:tabs>
          <w:tab w:val="num" w:pos="0"/>
        </w:tabs>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tabs>
          <w:tab w:val="num" w:pos="0"/>
        </w:tabs>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The FCH JU has successfully demonstrated the viability of the PPP concept for research in FCH. It has realised an adequate governance structure, created an effective dialogue between industry and research around a common strategic agenda, and has successfu</w:t>
      </w:r>
      <w:r>
        <w:rPr>
          <w:rFonts w:ascii="Times New Roman" w:eastAsia="Calibri" w:hAnsi="Times New Roman" w:cs="Times New Roman"/>
          <w:noProof/>
          <w:sz w:val="24"/>
          <w:szCs w:val="24"/>
        </w:rPr>
        <w:t xml:space="preserve">lly implemented that agenda. </w:t>
      </w:r>
    </w:p>
    <w:p w:rsidR="00E535A0" w:rsidRDefault="00E535A0">
      <w:pPr>
        <w:tabs>
          <w:tab w:val="num" w:pos="0"/>
        </w:tabs>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The expression of a long-term political commitment by EU institutions that is manifest in the FCH JU, coupled with stable funding has given confidence to industry and helped the sector through the difficult times caused by </w:t>
      </w:r>
      <w:r>
        <w:rPr>
          <w:rFonts w:ascii="Times New Roman" w:eastAsia="Calibri" w:hAnsi="Times New Roman" w:cs="Times New Roman"/>
          <w:noProof/>
          <w:sz w:val="24"/>
          <w:szCs w:val="24"/>
        </w:rPr>
        <w:t xml:space="preserve">a shifting emphasis to Battery Electric Vehicles and the economic crisis.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The FCH JU has helped to stimulate new relations including trans-national linkages between the public sectors and private sectors of different Member States and strong communities</w:t>
      </w:r>
      <w:r>
        <w:rPr>
          <w:rFonts w:ascii="Times New Roman" w:eastAsia="Calibri" w:hAnsi="Times New Roman" w:cs="Times New Roman"/>
          <w:noProof/>
          <w:sz w:val="24"/>
          <w:szCs w:val="24"/>
        </w:rPr>
        <w:t xml:space="preserve"> within the Industry- and Research Group. In the latter case, formerly dispersed actors have been brought together to formulate a collective position on research priorities and to debate that position between the two communities.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A strict assessment of </w:t>
      </w:r>
      <w:r>
        <w:rPr>
          <w:rFonts w:ascii="Times New Roman" w:eastAsia="Calibri" w:hAnsi="Times New Roman" w:cs="Times New Roman"/>
          <w:noProof/>
          <w:sz w:val="24"/>
          <w:szCs w:val="24"/>
        </w:rPr>
        <w:t>effectiveness against the requirements of the Regulation establishing the FCH JU shows a few deficiencies, but in some cases the objectives go beyond what might reasonably be expected. The FCH JU has demonstrated successful depot-based applications of vehi</w:t>
      </w:r>
      <w:r>
        <w:rPr>
          <w:rFonts w:ascii="Times New Roman" w:eastAsia="Calibri" w:hAnsi="Times New Roman" w:cs="Times New Roman"/>
          <w:noProof/>
          <w:sz w:val="24"/>
          <w:szCs w:val="24"/>
        </w:rPr>
        <w:t>cles and to some extent has contributed to automobile applications, but its impact is limited in the latter case by the need for specialised infrastructure if a mass market is to develop. Concrete results pertaining to the energy theme are relatively few a</w:t>
      </w:r>
      <w:r>
        <w:rPr>
          <w:rFonts w:ascii="Times New Roman" w:eastAsia="Calibri" w:hAnsi="Times New Roman" w:cs="Times New Roman"/>
          <w:noProof/>
          <w:sz w:val="24"/>
          <w:szCs w:val="24"/>
        </w:rPr>
        <w:t xml:space="preserve">t this stage in the programme, and there is little sign of an impact on policy. </w:t>
      </w:r>
    </w:p>
    <w:p w:rsidR="00E535A0" w:rsidRDefault="00C953F5">
      <w:pPr>
        <w:tabs>
          <w:tab w:val="num" w:pos="0"/>
        </w:tabs>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Technological developments as a consequence of the work programme have ensured that the market position is stronger than it was at inception and demonstration projects, part</w:t>
      </w:r>
      <w:r>
        <w:rPr>
          <w:rFonts w:ascii="Times New Roman" w:eastAsia="Calibri" w:hAnsi="Times New Roman" w:cs="Times New Roman"/>
          <w:noProof/>
          <w:sz w:val="24"/>
          <w:szCs w:val="24"/>
        </w:rPr>
        <w:t>icularly in transport, have strengthened knowledge of the technology among potential developers and reduced perceptions of risk, but it needs policy interventions and strategic planning by the competent authorities to deliver a real impact on policy and on</w:t>
      </w:r>
      <w:r>
        <w:rPr>
          <w:rFonts w:ascii="Times New Roman" w:eastAsia="Calibri" w:hAnsi="Times New Roman" w:cs="Times New Roman"/>
          <w:noProof/>
          <w:sz w:val="24"/>
          <w:szCs w:val="24"/>
        </w:rPr>
        <w:t xml:space="preserve"> welfare.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recommendations were made:</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Governance of the programme needs to ensure that decision-making is more prompt;</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That more resources are assigned to programme and knowledge management and that the private sector’s commitment </w:t>
      </w:r>
      <w:r>
        <w:rPr>
          <w:rFonts w:ascii="Times New Roman" w:hAnsi="Times New Roman" w:cs="Times New Roman"/>
          <w:noProof/>
          <w:sz w:val="24"/>
          <w:szCs w:val="24"/>
        </w:rPr>
        <w:t>continues to be comparable to the EU’s effort.</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SME participation should be further strengthened through a scheme of financial guarantees as in the Framework Programme and linkage between research projects and venture capital funding from the RSFF to gen</w:t>
      </w:r>
      <w:r>
        <w:rPr>
          <w:rFonts w:ascii="Times New Roman" w:hAnsi="Times New Roman" w:cs="Times New Roman"/>
          <w:noProof/>
          <w:sz w:val="24"/>
          <w:szCs w:val="24"/>
        </w:rPr>
        <w:t>erate new and innovative European companies and businesses.</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research strategy for the continuation of the FCH JU should focus more sharply on three main principles: alignment on EU policies; areas where Europe has or can achieve leadership; adaptatio</w:t>
      </w:r>
      <w:r>
        <w:rPr>
          <w:rFonts w:ascii="Times New Roman" w:hAnsi="Times New Roman" w:cs="Times New Roman"/>
          <w:noProof/>
          <w:sz w:val="24"/>
          <w:szCs w:val="24"/>
        </w:rPr>
        <w:t>n to changing needs of the sector.</w:t>
      </w:r>
    </w:p>
    <w:p w:rsidR="00E535A0" w:rsidRDefault="00E535A0">
      <w:pPr>
        <w:autoSpaceDE w:val="0"/>
        <w:autoSpaceDN w:val="0"/>
        <w:adjustRightInd w:val="0"/>
        <w:spacing w:after="0" w:line="240" w:lineRule="auto"/>
        <w:contextualSpacing/>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Finance of future deployment and capacity build-up projects is vital and will require new financial arrangements. The Commission should investigate whether Hydrogen infrastructure can be made eligible for funding withi</w:t>
      </w:r>
      <w:r>
        <w:rPr>
          <w:rFonts w:ascii="Times New Roman" w:hAnsi="Times New Roman" w:cs="Times New Roman"/>
          <w:noProof/>
          <w:sz w:val="24"/>
          <w:szCs w:val="24"/>
        </w:rPr>
        <w:t>n the new National Strategic Reference Frameworks for Structural Funds.</w:t>
      </w:r>
    </w:p>
    <w:p w:rsidR="00E535A0" w:rsidRDefault="00E535A0">
      <w:pPr>
        <w:spacing w:line="240" w:lineRule="auto"/>
        <w:rPr>
          <w:rFonts w:eastAsia="Calibri"/>
          <w:noProof/>
          <w:szCs w:val="24"/>
        </w:rPr>
      </w:pPr>
    </w:p>
    <w:p w:rsidR="00E535A0" w:rsidRDefault="00C953F5">
      <w:pPr>
        <w:spacing w:line="240" w:lineRule="auto"/>
        <w:rPr>
          <w:rFonts w:eastAsia="Times New Roman"/>
          <w:b/>
          <w:bCs/>
          <w:iCs/>
          <w:noProof/>
          <w:szCs w:val="24"/>
          <w:lang w:val="en" w:eastAsia="en-GB"/>
        </w:rPr>
      </w:pPr>
      <w:r>
        <w:rPr>
          <w:rFonts w:eastAsia="Times New Roman"/>
          <w:b/>
          <w:bCs/>
          <w:iCs/>
          <w:noProof/>
          <w:szCs w:val="24"/>
          <w:lang w:val="en" w:eastAsia="en-GB"/>
        </w:rPr>
        <w:br w:type="page"/>
      </w:r>
    </w:p>
    <w:p w:rsidR="00E535A0" w:rsidRDefault="00C953F5">
      <w:pPr>
        <w:spacing w:before="100" w:beforeAutospacing="1" w:after="100" w:afterAutospacing="1" w:line="240" w:lineRule="auto"/>
        <w:jc w:val="both"/>
        <w:outlineLvl w:val="3"/>
        <w:rPr>
          <w:rFonts w:ascii="Times New Roman" w:eastAsia="Times New Roman" w:hAnsi="Times New Roman" w:cs="Times New Roman"/>
          <w:b/>
          <w:bCs/>
          <w:iCs/>
          <w:noProof/>
          <w:sz w:val="24"/>
          <w:szCs w:val="24"/>
          <w:lang w:val="en" w:eastAsia="en-GB"/>
        </w:rPr>
      </w:pPr>
      <w:r>
        <w:rPr>
          <w:rFonts w:ascii="Times New Roman" w:eastAsia="Times New Roman" w:hAnsi="Times New Roman" w:cs="Times New Roman"/>
          <w:b/>
          <w:bCs/>
          <w:iCs/>
          <w:noProof/>
          <w:sz w:val="24"/>
          <w:szCs w:val="24"/>
          <w:lang w:val="en" w:eastAsia="en-GB"/>
        </w:rPr>
        <w:t>15.4. ARTEMIS and ENIAC Joint Technology Initiatives (JTIs) and Joint Undertakings (JUs)</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The ARTEMIS and ENIAC Joint Technology Initiatives (JTIs) and Joint Undertakings (JUs) were established in February 2008 in order to devise and implement strategic research programmes in the areas of, respectively, embedded systems and nanoelectronics. The</w:t>
      </w:r>
      <w:r>
        <w:rPr>
          <w:rFonts w:ascii="Times New Roman" w:eastAsia="Times New Roman" w:hAnsi="Times New Roman" w:cs="Times New Roman"/>
          <w:bCs/>
          <w:iCs/>
          <w:noProof/>
          <w:sz w:val="24"/>
          <w:szCs w:val="24"/>
          <w:lang w:val="en" w:eastAsia="en-GB"/>
        </w:rPr>
        <w:t xml:space="preserve"> ARTEMIS and ENIAC JUs are public-private partnerships jointly funded by industry, research organisations, participating Member States and the Commission's own ICT programme.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In the period 2008-2012, the two JTIs supported altogether more than 100 project</w:t>
      </w:r>
      <w:r>
        <w:rPr>
          <w:rFonts w:ascii="Times New Roman" w:eastAsia="Times New Roman" w:hAnsi="Times New Roman" w:cs="Times New Roman"/>
          <w:bCs/>
          <w:iCs/>
          <w:noProof/>
          <w:sz w:val="24"/>
          <w:szCs w:val="24"/>
          <w:lang w:val="en" w:eastAsia="en-GB"/>
        </w:rPr>
        <w:t>s for a total cost in excess of €2.8 billion with a public funding of €1.126 billion (EU + Member States), involving more than 2000 organisations (1260 unique participations) of which around 40% are SMEs, 30% large enterprises and 30% research and higher e</w:t>
      </w:r>
      <w:r>
        <w:rPr>
          <w:rFonts w:ascii="Times New Roman" w:eastAsia="Times New Roman" w:hAnsi="Times New Roman" w:cs="Times New Roman"/>
          <w:bCs/>
          <w:iCs/>
          <w:noProof/>
          <w:sz w:val="24"/>
          <w:szCs w:val="24"/>
          <w:lang w:val="en" w:eastAsia="en-GB"/>
        </w:rPr>
        <w:t>ducation organisations.</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ENIAC and ARTEMIS JTIs provided a major opportunity to cooperate across Europe, create critical mass and leverage investments. This capability has been demonstrated by the ENIAC JU’s success in jump-starting the implementation of th</w:t>
      </w:r>
      <w:r>
        <w:rPr>
          <w:rFonts w:ascii="Times New Roman" w:eastAsia="Times New Roman" w:hAnsi="Times New Roman" w:cs="Times New Roman"/>
          <w:bCs/>
          <w:iCs/>
          <w:noProof/>
          <w:sz w:val="24"/>
          <w:szCs w:val="24"/>
          <w:lang w:val="en" w:eastAsia="en-GB"/>
        </w:rPr>
        <w:t>e Key Enabling Technologies recommendations in nanoelectronics with five manufacturing pilot lines worth €730 million and by the ARTEMIS JU’s first launch of two large-scale innovation pilot projects worth €150 million.</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The largest project in the ARTEMIS p</w:t>
      </w:r>
      <w:r>
        <w:rPr>
          <w:rFonts w:ascii="Times New Roman" w:eastAsia="Times New Roman" w:hAnsi="Times New Roman" w:cs="Times New Roman"/>
          <w:bCs/>
          <w:iCs/>
          <w:noProof/>
          <w:sz w:val="24"/>
          <w:szCs w:val="24"/>
          <w:lang w:val="en" w:eastAsia="en-GB"/>
        </w:rPr>
        <w:t>ortfolio is CESAR - Cost-Efficient methods and processes for SAfety Relevant embedded systems. For key transportation domains (automotive, aerospace and rail) it developed ultra-reliable embedded systems in order to meet societal demands for increased mobi</w:t>
      </w:r>
      <w:r>
        <w:rPr>
          <w:rFonts w:ascii="Times New Roman" w:eastAsia="Times New Roman" w:hAnsi="Times New Roman" w:cs="Times New Roman"/>
          <w:bCs/>
          <w:iCs/>
          <w:noProof/>
          <w:sz w:val="24"/>
          <w:szCs w:val="24"/>
          <w:lang w:val="en" w:eastAsia="en-GB"/>
        </w:rPr>
        <w:t xml:space="preserve">lity and safety. For ENIAC a clear success is the E3Car, which overcame the main challenges regarding the electrical vehicle using advanced semiconductor components. An increase in energy efficiency by 35% in certain components has been achieved.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A second</w:t>
      </w:r>
      <w:r>
        <w:rPr>
          <w:rFonts w:ascii="Times New Roman" w:eastAsia="Times New Roman" w:hAnsi="Times New Roman" w:cs="Times New Roman"/>
          <w:bCs/>
          <w:iCs/>
          <w:noProof/>
          <w:sz w:val="24"/>
          <w:szCs w:val="24"/>
          <w:lang w:val="en" w:eastAsia="en-GB"/>
        </w:rPr>
        <w:t xml:space="preserve"> Interim Evaluation of ARTEMIS and ENIAC was carried out in 2012  and concluded that the original objectives of the tripartite JTI instrument for ARTEMIS and ENIAC were still valid, and many such objectives had been achieved. Projects funded by the ARTEMIS</w:t>
      </w:r>
      <w:r>
        <w:rPr>
          <w:rFonts w:ascii="Times New Roman" w:eastAsia="Times New Roman" w:hAnsi="Times New Roman" w:cs="Times New Roman"/>
          <w:bCs/>
          <w:iCs/>
          <w:noProof/>
          <w:sz w:val="24"/>
          <w:szCs w:val="24"/>
          <w:lang w:val="en" w:eastAsia="en-GB"/>
        </w:rPr>
        <w:t xml:space="preserve"> and ENIAC JTIs were considered all justifiable in the strategic context of the needs of EU industry. The significant value and achievements of the ARTEMIS and ENIAC JTIs were confirmed by the panel.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 xml:space="preserve">The panel found that: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 The relevance of the ARTEMIS a</w:t>
      </w:r>
      <w:r>
        <w:rPr>
          <w:rFonts w:ascii="Times New Roman" w:eastAsia="Times New Roman" w:hAnsi="Times New Roman" w:cs="Times New Roman"/>
          <w:bCs/>
          <w:iCs/>
          <w:noProof/>
          <w:sz w:val="24"/>
          <w:szCs w:val="24"/>
          <w:lang w:val="en" w:eastAsia="en-GB"/>
        </w:rPr>
        <w:t xml:space="preserve">nd ENIAC programmes remained high, and both JTIs continued to address the key European technological and industrial sectors in their respective domains (with some exceptions). However, the panel found that to ensure continuing relevance into the future it </w:t>
      </w:r>
      <w:r>
        <w:rPr>
          <w:rFonts w:ascii="Times New Roman" w:eastAsia="Times New Roman" w:hAnsi="Times New Roman" w:cs="Times New Roman"/>
          <w:bCs/>
          <w:iCs/>
          <w:noProof/>
          <w:sz w:val="24"/>
          <w:szCs w:val="24"/>
          <w:lang w:val="en" w:eastAsia="en-GB"/>
        </w:rPr>
        <w:t>was essential to link the JTI research, development and innovation agendas in to a wider European ECS strategy based on a coherent and common vision and common goals. This strategy would determine a clear, coherent European view on the appropriateness of J</w:t>
      </w:r>
      <w:r>
        <w:rPr>
          <w:rFonts w:ascii="Times New Roman" w:eastAsia="Times New Roman" w:hAnsi="Times New Roman" w:cs="Times New Roman"/>
          <w:bCs/>
          <w:iCs/>
          <w:noProof/>
          <w:sz w:val="24"/>
          <w:szCs w:val="24"/>
          <w:lang w:val="en" w:eastAsia="en-GB"/>
        </w:rPr>
        <w:t>TI research agenda, on the prioritisation of projects for funding, and would be the basis for any related review procedures.</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 The level of effectiveness of the JTIs/JUs in achieving their objectives was also in general high, but effectiveness would be imp</w:t>
      </w:r>
      <w:r>
        <w:rPr>
          <w:rFonts w:ascii="Times New Roman" w:eastAsia="Times New Roman" w:hAnsi="Times New Roman" w:cs="Times New Roman"/>
          <w:bCs/>
          <w:iCs/>
          <w:noProof/>
          <w:sz w:val="24"/>
          <w:szCs w:val="24"/>
          <w:lang w:val="en" w:eastAsia="en-GB"/>
        </w:rPr>
        <w:t>roved by increasing the coherence of programmes and funded project portfolios within and between JTIs, by strengthening exploitation of project results and by a greater involvement of, and strategic leadership by, the respective Industrial Associations and</w:t>
      </w:r>
      <w:r>
        <w:rPr>
          <w:rFonts w:ascii="Times New Roman" w:eastAsia="Times New Roman" w:hAnsi="Times New Roman" w:cs="Times New Roman"/>
          <w:bCs/>
          <w:iCs/>
          <w:noProof/>
          <w:sz w:val="24"/>
          <w:szCs w:val="24"/>
          <w:lang w:val="en" w:eastAsia="en-GB"/>
        </w:rPr>
        <w:t xml:space="preserve"> Governing Boards.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 The efficiency of administrative processes was in general found to be good, but the panel considered that it would be considerably improved by various changes in current practice, in particular in relation to the harmonisation and sim</w:t>
      </w:r>
      <w:r>
        <w:rPr>
          <w:rFonts w:ascii="Times New Roman" w:eastAsia="Times New Roman" w:hAnsi="Times New Roman" w:cs="Times New Roman"/>
          <w:bCs/>
          <w:iCs/>
          <w:noProof/>
          <w:sz w:val="24"/>
          <w:szCs w:val="24"/>
          <w:lang w:val="en" w:eastAsia="en-GB"/>
        </w:rPr>
        <w:t xml:space="preserve">plification of Member State practices, by allowing a greater flexibility in funding arrangements, by streamlining JU administrative and governance structures. </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 The quality of projects funded by the JTIs was found to be high, and in many instances world-l</w:t>
      </w:r>
      <w:r>
        <w:rPr>
          <w:rFonts w:ascii="Times New Roman" w:eastAsia="Times New Roman" w:hAnsi="Times New Roman" w:cs="Times New Roman"/>
          <w:bCs/>
          <w:iCs/>
          <w:noProof/>
          <w:sz w:val="24"/>
          <w:szCs w:val="24"/>
          <w:lang w:val="en" w:eastAsia="en-GB"/>
        </w:rPr>
        <w:t>eading, but that steps should be taken to increase inter-project co-operation and avoid potential duplication and overlap in content, to improve the quality of project management and to devise reliable metrics for measuring the impact and success of projec</w:t>
      </w:r>
      <w:r>
        <w:rPr>
          <w:rFonts w:ascii="Times New Roman" w:eastAsia="Times New Roman" w:hAnsi="Times New Roman" w:cs="Times New Roman"/>
          <w:bCs/>
          <w:iCs/>
          <w:noProof/>
          <w:sz w:val="24"/>
          <w:szCs w:val="24"/>
          <w:lang w:val="en" w:eastAsia="en-GB"/>
        </w:rPr>
        <w:t>ts.</w:t>
      </w:r>
    </w:p>
    <w:p w:rsidR="00E535A0" w:rsidRDefault="00C953F5">
      <w:pPr>
        <w:spacing w:before="100" w:beforeAutospacing="1" w:after="100" w:afterAutospacing="1" w:line="240" w:lineRule="auto"/>
        <w:jc w:val="both"/>
        <w:outlineLvl w:val="3"/>
        <w:rPr>
          <w:rFonts w:ascii="Times New Roman" w:eastAsia="Times New Roman" w:hAnsi="Times New Roman" w:cs="Times New Roman"/>
          <w:bCs/>
          <w:iCs/>
          <w:noProof/>
          <w:sz w:val="24"/>
          <w:szCs w:val="24"/>
          <w:lang w:val="en" w:eastAsia="en-GB"/>
        </w:rPr>
      </w:pPr>
      <w:r>
        <w:rPr>
          <w:rFonts w:ascii="Times New Roman" w:eastAsia="Times New Roman" w:hAnsi="Times New Roman" w:cs="Times New Roman"/>
          <w:bCs/>
          <w:iCs/>
          <w:noProof/>
          <w:sz w:val="24"/>
          <w:szCs w:val="24"/>
          <w:lang w:val="en" w:eastAsia="en-GB"/>
        </w:rPr>
        <w:t xml:space="preserve">The panel also identified a number JTI structural changes that would significantly improve the efficiency and effectiveness of the programmes and bring much welcome strategic coherence. In particular the integration of ENIAC &amp; ARTEMIS JTIs, along with </w:t>
      </w:r>
      <w:r>
        <w:rPr>
          <w:rFonts w:ascii="Times New Roman" w:eastAsia="Times New Roman" w:hAnsi="Times New Roman" w:cs="Times New Roman"/>
          <w:bCs/>
          <w:iCs/>
          <w:noProof/>
          <w:sz w:val="24"/>
          <w:szCs w:val="24"/>
          <w:lang w:val="en" w:eastAsia="en-GB"/>
        </w:rPr>
        <w:t>the European Technology Platform (ETP) on Smart Systems Integration (EPoSS), into a single organisation (one legal entity - an ECS JTI), although the broad scope of such an integrated JTI would mean that some continuing differentiation (e.g. via separated,</w:t>
      </w:r>
      <w:r>
        <w:rPr>
          <w:rFonts w:ascii="Times New Roman" w:eastAsia="Times New Roman" w:hAnsi="Times New Roman" w:cs="Times New Roman"/>
          <w:bCs/>
          <w:iCs/>
          <w:noProof/>
          <w:sz w:val="24"/>
          <w:szCs w:val="24"/>
          <w:lang w:val="en" w:eastAsia="en-GB"/>
        </w:rPr>
        <w:t xml:space="preserve"> but linked, SRAs, workplans, budgets, IAs etc.) might be appropriate. </w:t>
      </w:r>
    </w:p>
    <w:p w:rsidR="00E535A0" w:rsidRDefault="00C953F5">
      <w:pPr>
        <w:spacing w:before="100" w:beforeAutospacing="1" w:after="100" w:afterAutospacing="1" w:line="240" w:lineRule="auto"/>
        <w:jc w:val="both"/>
        <w:outlineLvl w:val="3"/>
        <w:rPr>
          <w:rFonts w:ascii="Times New Roman" w:eastAsiaTheme="majorEastAsia" w:hAnsi="Times New Roman" w:cs="Times New Roman"/>
          <w:b/>
          <w:bCs/>
          <w:noProof/>
          <w:sz w:val="24"/>
          <w:szCs w:val="24"/>
        </w:rPr>
      </w:pPr>
      <w:r>
        <w:rPr>
          <w:rFonts w:ascii="Times New Roman" w:eastAsia="Times New Roman" w:hAnsi="Times New Roman" w:cs="Times New Roman"/>
          <w:bCs/>
          <w:iCs/>
          <w:noProof/>
          <w:sz w:val="24"/>
          <w:szCs w:val="24"/>
          <w:lang w:val="en" w:eastAsia="en-GB"/>
        </w:rPr>
        <w:t>In 2013 the Commission made the proposal for a JTI bringing together the EU and Member States in Electronic Components &amp; Systems (ECSEL). ECSEL is operating since 2014 and will run for</w:t>
      </w:r>
      <w:r>
        <w:rPr>
          <w:rFonts w:ascii="Times New Roman" w:eastAsia="Times New Roman" w:hAnsi="Times New Roman" w:cs="Times New Roman"/>
          <w:bCs/>
          <w:iCs/>
          <w:noProof/>
          <w:sz w:val="24"/>
          <w:szCs w:val="24"/>
          <w:lang w:val="en" w:eastAsia="en-GB"/>
        </w:rPr>
        <w:t xml:space="preserve"> 10 years, replacing ENIAC and ARTEMIS JUs in the fields of nanoelectronics and embedded systems. This merging builds on their respective strengths while unlocking additional synergies. The ECSEL JTI will support an integrated European strategy in electron</w:t>
      </w:r>
      <w:r>
        <w:rPr>
          <w:rFonts w:ascii="Times New Roman" w:eastAsia="Times New Roman" w:hAnsi="Times New Roman" w:cs="Times New Roman"/>
          <w:bCs/>
          <w:iCs/>
          <w:noProof/>
          <w:sz w:val="24"/>
          <w:szCs w:val="24"/>
          <w:lang w:val="en" w:eastAsia="en-GB"/>
        </w:rPr>
        <w:t>ic components and systems allowing the development of a sustainable electronic components and systems industrial ecosystem, and providing effective means for European stakeholders to keep pace with technology, to get access to advanced components and to co</w:t>
      </w:r>
      <w:r>
        <w:rPr>
          <w:rFonts w:ascii="Times New Roman" w:eastAsia="Times New Roman" w:hAnsi="Times New Roman" w:cs="Times New Roman"/>
          <w:bCs/>
          <w:iCs/>
          <w:noProof/>
          <w:sz w:val="24"/>
          <w:szCs w:val="24"/>
          <w:lang w:val="en" w:eastAsia="en-GB"/>
        </w:rPr>
        <w:t>nsolidate their leadership in electronic systems for key economic sectors.</w:t>
      </w:r>
      <w:bookmarkStart w:id="27" w:name="_Toc426640896"/>
      <w:r>
        <w:rPr>
          <w:rFonts w:ascii="Times New Roman" w:eastAsiaTheme="majorEastAsia" w:hAnsi="Times New Roman" w:cs="Times New Roman"/>
          <w:b/>
          <w:bCs/>
          <w:noProof/>
          <w:sz w:val="24"/>
          <w:szCs w:val="24"/>
        </w:rPr>
        <w:br w:type="page"/>
      </w:r>
    </w:p>
    <w:p w:rsidR="00E535A0" w:rsidRDefault="00C953F5">
      <w:pPr>
        <w:pStyle w:val="berschrift1"/>
        <w:rPr>
          <w:noProof/>
          <w:szCs w:val="24"/>
        </w:rPr>
      </w:pPr>
      <w:bookmarkStart w:id="28" w:name="_Toc433998137"/>
      <w:bookmarkStart w:id="29" w:name="_Toc439752807"/>
      <w:r>
        <w:rPr>
          <w:noProof/>
          <w:szCs w:val="24"/>
        </w:rPr>
        <w:t>Joint European Research Programmes under FP7</w:t>
      </w:r>
      <w:bookmarkEnd w:id="27"/>
      <w:bookmarkEnd w:id="28"/>
      <w:bookmarkEnd w:id="29"/>
    </w:p>
    <w:p w:rsidR="00E535A0" w:rsidRDefault="00C953F5">
      <w:pPr>
        <w:spacing w:line="240" w:lineRule="auto"/>
        <w:jc w:val="both"/>
        <w:rPr>
          <w:rFonts w:ascii="Times New Roman" w:hAnsi="Times New Roman" w:cs="Times New Roman"/>
          <w:b/>
          <w:noProof/>
          <w:sz w:val="24"/>
          <w:szCs w:val="24"/>
        </w:rPr>
      </w:pPr>
      <w:bookmarkStart w:id="30" w:name="_Toc426640897"/>
      <w:r>
        <w:rPr>
          <w:rFonts w:ascii="Times New Roman" w:hAnsi="Times New Roman" w:cs="Times New Roman"/>
          <w:b/>
          <w:noProof/>
          <w:sz w:val="24"/>
          <w:szCs w:val="24"/>
        </w:rPr>
        <w:t>16.1. Eurostars</w:t>
      </w:r>
      <w:bookmarkEnd w:id="30"/>
    </w:p>
    <w:p w:rsidR="00E535A0" w:rsidRDefault="00E535A0">
      <w:pPr>
        <w:autoSpaceDE w:val="0"/>
        <w:autoSpaceDN w:val="0"/>
        <w:adjustRightInd w:val="0"/>
        <w:spacing w:after="0" w:line="240" w:lineRule="auto"/>
        <w:jc w:val="both"/>
        <w:rPr>
          <w:rFonts w:ascii="Times New Roman" w:hAnsi="Times New Roman" w:cs="Times New Roman"/>
          <w:b/>
          <w:bCs/>
          <w:i/>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The Final Evaluation of the Eurostars Joint Programme concluded that t</w:t>
      </w:r>
      <w:r>
        <w:rPr>
          <w:rFonts w:ascii="Times New Roman" w:hAnsi="Times New Roman" w:cs="Times New Roman"/>
          <w:noProof/>
          <w:sz w:val="24"/>
          <w:szCs w:val="24"/>
        </w:rPr>
        <w:t xml:space="preserve">he Eurostars Joint Programme has succeeded in accelerating the growth and innovative outputs of R&amp;D-performing SMEs. However, several aspects of governance and managerial implementation need to be improved.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expert group studied the Eurostars interim </w:t>
      </w:r>
      <w:r>
        <w:rPr>
          <w:rFonts w:ascii="Times New Roman" w:hAnsi="Times New Roman" w:cs="Times New Roman"/>
          <w:noProof/>
          <w:sz w:val="24"/>
          <w:szCs w:val="24"/>
        </w:rPr>
        <w:t xml:space="preserve">evaluation of 2010 and the uptake of its recommendations. In contrast to the interim evaluation, the expert group was able, due to the considerably higher numbers of applications, applicants and funded projects, to make quantitative calculations and carry </w:t>
      </w:r>
      <w:r>
        <w:rPr>
          <w:rFonts w:ascii="Times New Roman" w:hAnsi="Times New Roman" w:cs="Times New Roman"/>
          <w:noProof/>
          <w:sz w:val="24"/>
          <w:szCs w:val="24"/>
        </w:rPr>
        <w:t xml:space="preserve">out extensive econometric analyses.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results of the final evaluation provide evidence that Eurostars is relevant for the growth of R&amp;D-performing SMEs in Europe. The employment growth rate of R&amp;D-performing SMEs funded by Eurostars was nearly twice as</w:t>
      </w:r>
      <w:r>
        <w:rPr>
          <w:rFonts w:ascii="Times New Roman" w:hAnsi="Times New Roman" w:cs="Times New Roman"/>
          <w:noProof/>
          <w:sz w:val="24"/>
          <w:szCs w:val="24"/>
        </w:rPr>
        <w:t xml:space="preserve"> high as that of applicant SMEs which were not funded. This can be causally attributed to Eurostars funding. Given the still relatively small number of completed projects, this estimate will become more precise in future. In addition</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the market impact of </w:t>
      </w:r>
      <w:r>
        <w:rPr>
          <w:rFonts w:ascii="Times New Roman" w:hAnsi="Times New Roman" w:cs="Times New Roman"/>
          <w:noProof/>
          <w:sz w:val="24"/>
          <w:szCs w:val="24"/>
        </w:rPr>
        <w:t>Eurostars projects has not completely manifested itself yet. The programme has accelerated the development and roll-out of new and improved products, processes and services. The econometric evaluation established a positive and significant impact on the pa</w:t>
      </w:r>
      <w:r>
        <w:rPr>
          <w:rFonts w:ascii="Times New Roman" w:hAnsi="Times New Roman" w:cs="Times New Roman"/>
          <w:noProof/>
          <w:sz w:val="24"/>
          <w:szCs w:val="24"/>
        </w:rPr>
        <w:t xml:space="preserve">tent portfolio of funded firms relative to unfunded applicants. The programme has stimulated new cross-border collaborations that the members of the funded consortia intend to continue beyond the Eurostars funding period.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same time, the final eval</w:t>
      </w:r>
      <w:r>
        <w:rPr>
          <w:rFonts w:ascii="Times New Roman" w:hAnsi="Times New Roman" w:cs="Times New Roman"/>
          <w:noProof/>
          <w:sz w:val="24"/>
          <w:szCs w:val="24"/>
        </w:rPr>
        <w:t>uation reveals the need for improvement in harmonising funding rules and synchronising national processes. The effectiveness of central governance, administration and operations also needs to be improved. National resources are still too scarce, though som</w:t>
      </w:r>
      <w:r>
        <w:rPr>
          <w:rFonts w:ascii="Times New Roman" w:hAnsi="Times New Roman" w:cs="Times New Roman"/>
          <w:noProof/>
          <w:sz w:val="24"/>
          <w:szCs w:val="24"/>
        </w:rPr>
        <w:t>e countries have increased their Eurostars budgets significantly above the originally agreed levels. The maximum rate of funding for the same type of partners varies between countries. Insufficient resources in some of the consortia’s partner countries hav</w:t>
      </w:r>
      <w:r>
        <w:rPr>
          <w:rFonts w:ascii="Times New Roman" w:hAnsi="Times New Roman" w:cs="Times New Roman"/>
          <w:noProof/>
          <w:sz w:val="24"/>
          <w:szCs w:val="24"/>
        </w:rPr>
        <w:t xml:space="preserve">e resulted in the exclusion of selected projects from funding. With the increasing number of applications, the success rate - measured as share of eligible project proposals which were approved for funding - has fallen from 48% in 2008 to 20% in 2013. The </w:t>
      </w:r>
      <w:r>
        <w:rPr>
          <w:rFonts w:ascii="Times New Roman" w:hAnsi="Times New Roman" w:cs="Times New Roman"/>
          <w:noProof/>
          <w:sz w:val="24"/>
          <w:szCs w:val="24"/>
        </w:rPr>
        <w:t>time elapsed from submission deadline to evaluation, signing of grant and consortia agreements and activation of funding have gone down significantly, but is still too long and varies between partner countries, causing delays in starting projects. The High</w:t>
      </w:r>
      <w:r>
        <w:rPr>
          <w:rFonts w:ascii="Times New Roman" w:hAnsi="Times New Roman" w:cs="Times New Roman"/>
          <w:noProof/>
          <w:sz w:val="24"/>
          <w:szCs w:val="24"/>
        </w:rPr>
        <w:t>-Level Group has repeatedly discussed these issues, but so far failed to translate them into binding decisions and actions.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rPr>
          <w:rFonts w:ascii="Times New Roman" w:hAnsi="Times New Roman" w:cs="Times New Roman"/>
          <w:b/>
          <w:noProof/>
          <w:sz w:val="24"/>
          <w:szCs w:val="24"/>
        </w:rPr>
      </w:pPr>
      <w:bookmarkStart w:id="31" w:name="_Toc426640898"/>
      <w:r>
        <w:rPr>
          <w:rFonts w:ascii="Times New Roman" w:hAnsi="Times New Roman" w:cs="Times New Roman"/>
          <w:b/>
          <w:noProof/>
          <w:sz w:val="24"/>
          <w:szCs w:val="24"/>
        </w:rPr>
        <w:br w:type="page"/>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16.2. European Metrology Research Programme (EMRP)</w:t>
      </w:r>
      <w:bookmarkEnd w:id="31"/>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Interim evaluation results</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EMRP is performing well in relation to most o</w:t>
      </w:r>
      <w:r>
        <w:rPr>
          <w:rFonts w:ascii="Times New Roman" w:hAnsi="Times New Roman" w:cs="Times New Roman"/>
          <w:noProof/>
          <w:sz w:val="24"/>
          <w:szCs w:val="24"/>
        </w:rPr>
        <w:t>f its original expectations;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significant gaps between expectation and reality in relation to three qualitative impact indicators: capacity building, interaction with the wider scientific</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community and mobility.</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bookmarkStart w:id="32" w:name="_Toc426640899"/>
      <w:r>
        <w:rPr>
          <w:rFonts w:ascii="Times New Roman" w:hAnsi="Times New Roman" w:cs="Times New Roman"/>
          <w:b/>
          <w:noProof/>
          <w:sz w:val="24"/>
          <w:szCs w:val="24"/>
        </w:rPr>
        <w:t>16.3. Ambient Assisted Living (AAL</w:t>
      </w:r>
      <w:r>
        <w:rPr>
          <w:rFonts w:ascii="Times New Roman" w:hAnsi="Times New Roman" w:cs="Times New Roman"/>
          <w:b/>
          <w:noProof/>
          <w:sz w:val="24"/>
          <w:szCs w:val="24"/>
        </w:rPr>
        <w:t>)</w:t>
      </w:r>
      <w:bookmarkEnd w:id="32"/>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Among the innovative initiatives which have been included in the FP7, the </w:t>
      </w:r>
      <w:r>
        <w:rPr>
          <w:rFonts w:ascii="Times New Roman" w:hAnsi="Times New Roman" w:cs="Times New Roman"/>
          <w:i/>
          <w:iCs/>
          <w:noProof/>
          <w:sz w:val="24"/>
          <w:szCs w:val="24"/>
        </w:rPr>
        <w:t xml:space="preserve">Ambient Assisted Living (AAL) </w:t>
      </w:r>
      <w:r>
        <w:rPr>
          <w:rFonts w:ascii="Times New Roman" w:hAnsi="Times New Roman" w:cs="Times New Roman"/>
          <w:noProof/>
          <w:sz w:val="24"/>
          <w:szCs w:val="24"/>
        </w:rPr>
        <w:t xml:space="preserve">Joint Programme (JP) represented a new joint R&amp;D funding activity implemented by 20 EU Member States and 3 Associated States with EU support. The AAL </w:t>
      </w:r>
      <w:r>
        <w:rPr>
          <w:rFonts w:ascii="Times New Roman" w:hAnsi="Times New Roman" w:cs="Times New Roman"/>
          <w:noProof/>
          <w:sz w:val="24"/>
          <w:szCs w:val="24"/>
        </w:rPr>
        <w:t>Joint Programme aimed at using intelligent products and providing remote services in order to extend the time elderly people can live independently in their home environment. The Programme over the years 2008-2013 had a budget of €700 million, half of whic</w:t>
      </w:r>
      <w:r>
        <w:rPr>
          <w:rFonts w:ascii="Times New Roman" w:hAnsi="Times New Roman" w:cs="Times New Roman"/>
          <w:noProof/>
          <w:sz w:val="24"/>
          <w:szCs w:val="24"/>
        </w:rPr>
        <w:t xml:space="preserve">h was public funding (split between Partner States and the European Commission). Over </w:t>
      </w:r>
      <w:hyperlink r:id="rId77" w:history="1">
        <w:r>
          <w:rPr>
            <w:rStyle w:val="Hyperlink"/>
            <w:rFonts w:ascii="Times New Roman" w:hAnsi="Times New Roman" w:cs="Times New Roman"/>
            <w:noProof/>
            <w:sz w:val="24"/>
            <w:szCs w:val="24"/>
          </w:rPr>
          <w:t>150 projects</w:t>
        </w:r>
      </w:hyperlink>
      <w:r>
        <w:rPr>
          <w:rFonts w:ascii="Times New Roman" w:hAnsi="Times New Roman" w:cs="Times New Roman"/>
          <w:noProof/>
          <w:sz w:val="24"/>
          <w:szCs w:val="24"/>
        </w:rPr>
        <w:t xml:space="preserve"> were funded over 6 calls, the last of which closed in Spring 2</w:t>
      </w:r>
      <w:r>
        <w:rPr>
          <w:rFonts w:ascii="Times New Roman" w:hAnsi="Times New Roman" w:cs="Times New Roman"/>
          <w:noProof/>
          <w:sz w:val="24"/>
          <w:szCs w:val="24"/>
        </w:rPr>
        <w:t>013. Each project involved at least 3 Member States, one research body, one user organisation, and an SME participant.</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the Programme came to a completion in December 2013 a high level expert group produced a </w:t>
      </w:r>
      <w:hyperlink r:id="rId78" w:history="1">
        <w:r>
          <w:rPr>
            <w:rStyle w:val="Hyperlink"/>
            <w:rFonts w:ascii="Times New Roman" w:hAnsi="Times New Roman" w:cs="Times New Roman"/>
            <w:noProof/>
            <w:sz w:val="24"/>
            <w:szCs w:val="24"/>
          </w:rPr>
          <w:t>final evaluation report</w:t>
        </w:r>
        <w:r>
          <w:rPr>
            <w:rStyle w:val="Hyperlink"/>
            <w:rFonts w:ascii="Times New Roman" w:hAnsi="Times New Roman" w:cs="Times New Roman"/>
            <w:bCs/>
            <w:noProof/>
            <w:sz w:val="24"/>
            <w:szCs w:val="24"/>
            <w:vertAlign w:val="superscript"/>
          </w:rPr>
          <w:footnoteReference w:id="71"/>
        </w:r>
        <w:r>
          <w:rPr>
            <w:rStyle w:val="Hyperlink"/>
            <w:rFonts w:ascii="Times New Roman" w:hAnsi="Times New Roman" w:cs="Times New Roman"/>
            <w:noProof/>
            <w:sz w:val="24"/>
            <w:szCs w:val="24"/>
          </w:rPr>
          <w:t xml:space="preserve"> </w:t>
        </w:r>
      </w:hyperlink>
      <w:r>
        <w:rPr>
          <w:rFonts w:ascii="Times New Roman" w:hAnsi="Times New Roman" w:cs="Times New Roman"/>
          <w:noProof/>
          <w:sz w:val="24"/>
          <w:szCs w:val="24"/>
        </w:rPr>
        <w:t>that highlighted its key achievements: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high participation rate of SMEs (over 40%; far higher than average in FP7 projects), attracted by the opportunity to work within familiar national rules and procedures.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launch of a number of commercial products and services originating directly from the first projects: nearly 50% of the projects from the first two calls have secured IPR results and a number of first commercial results have also emerged.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shaping o</w:t>
      </w:r>
      <w:r>
        <w:rPr>
          <w:rFonts w:ascii="Times New Roman" w:hAnsi="Times New Roman" w:cs="Times New Roman"/>
          <w:noProof/>
          <w:sz w:val="24"/>
          <w:szCs w:val="24"/>
        </w:rPr>
        <w:t xml:space="preserve">f a new innovation 'ecosystem' around a dynamic AAL community of stakeholders (user organisations, care professionals, research bodies, industry and government). Around 1200 of them participate in the annual </w:t>
      </w:r>
      <w:hyperlink r:id="rId79" w:tgtFrame="_blank" w:history="1">
        <w:r>
          <w:rPr>
            <w:rStyle w:val="Hyperlink"/>
            <w:rFonts w:ascii="Times New Roman" w:hAnsi="Times New Roman" w:cs="Times New Roman"/>
            <w:noProof/>
            <w:sz w:val="24"/>
            <w:szCs w:val="24"/>
          </w:rPr>
          <w:t>AAL Forum</w:t>
        </w:r>
      </w:hyperlink>
      <w:r>
        <w:rPr>
          <w:rFonts w:ascii="Times New Roman" w:hAnsi="Times New Roman" w:cs="Times New Roman"/>
          <w:noProof/>
          <w:sz w:val="24"/>
          <w:szCs w:val="24"/>
        </w:rPr>
        <w:t>.</w:t>
      </w:r>
      <w:hyperlink r:id="rId80" w:tgtFrame="_blank" w:history="1">
        <w:r>
          <w:rPr>
            <w:rStyle w:val="Hyperlink"/>
            <w:rFonts w:ascii="Times New Roman" w:hAnsi="Times New Roman" w:cs="Times New Roman"/>
            <w:noProof/>
            <w:sz w:val="24"/>
            <w:szCs w:val="24"/>
          </w:rPr>
          <w:t xml:space="preserve"> </w:t>
        </w:r>
      </w:hyperlink>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creation of a critical mass of research, development and innovation activity in AAL systems and services at European level.</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Strong network effects and the seeding of pan-European commu</w:t>
      </w:r>
      <w:r>
        <w:rPr>
          <w:rFonts w:ascii="Times New Roman" w:hAnsi="Times New Roman" w:cs="Times New Roman"/>
          <w:noProof/>
          <w:sz w:val="24"/>
          <w:szCs w:val="24"/>
        </w:rPr>
        <w:t>nities that bring the AAL field closer to the market.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leveraging of national efforts for the European good under the Article 185 approach, through the pooling of national resources.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strong catalytic effect on national initiatives and activity in ICT </w:t>
      </w:r>
      <w:r>
        <w:rPr>
          <w:rFonts w:ascii="Times New Roman" w:hAnsi="Times New Roman" w:cs="Times New Roman"/>
          <w:noProof/>
          <w:sz w:val="24"/>
          <w:szCs w:val="24"/>
        </w:rPr>
        <w:t>for ageing.</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diverse and interesting portfolio of projects that well address the 2-3 years to market time horizon.</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high participation of users, with around 30% of project participants having some form of user role.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Stimulating industrial leadership, wit</w:t>
      </w:r>
      <w:r>
        <w:rPr>
          <w:rFonts w:ascii="Times New Roman" w:hAnsi="Times New Roman" w:cs="Times New Roman"/>
          <w:noProof/>
          <w:sz w:val="24"/>
          <w:szCs w:val="24"/>
        </w:rPr>
        <w:t>h around two-thirds of projects (67%) led by industry.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Effective governance and management, with the management overhead within accepted norms.</w:t>
      </w:r>
    </w:p>
    <w:p w:rsidR="00E535A0" w:rsidRDefault="00C953F5">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main findings of the evaluation were the following: </w:t>
      </w:r>
    </w:p>
    <w:p w:rsidR="00E535A0" w:rsidRDefault="00E535A0">
      <w:pPr>
        <w:autoSpaceDE w:val="0"/>
        <w:autoSpaceDN w:val="0"/>
        <w:adjustRightInd w:val="0"/>
        <w:spacing w:after="0" w:line="240" w:lineRule="auto"/>
        <w:jc w:val="both"/>
        <w:rPr>
          <w:rFonts w:ascii="Times New Roman" w:hAnsi="Times New Roman" w:cs="Times New Roman"/>
          <w:bCs/>
          <w:noProof/>
          <w:sz w:val="24"/>
          <w:szCs w:val="24"/>
        </w:rPr>
      </w:pPr>
    </w:p>
    <w:p w:rsidR="00E535A0" w:rsidRDefault="00C953F5">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The objectives were</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appropriate and well targeted and </w:t>
      </w:r>
      <w:r>
        <w:rPr>
          <w:rFonts w:ascii="Times New Roman" w:hAnsi="Times New Roman" w:cs="Times New Roman"/>
          <w:noProof/>
          <w:sz w:val="24"/>
          <w:szCs w:val="24"/>
        </w:rPr>
        <w:t>the Programme had made meaningful advances. The objectives continues</w:t>
      </w:r>
      <w:r>
        <w:rPr>
          <w:rFonts w:ascii="Times New Roman" w:hAnsi="Times New Roman" w:cs="Times New Roman"/>
          <w:bCs/>
          <w:noProof/>
          <w:sz w:val="24"/>
          <w:szCs w:val="24"/>
        </w:rPr>
        <w:t xml:space="preserve"> </w:t>
      </w:r>
      <w:r>
        <w:rPr>
          <w:rFonts w:ascii="Times New Roman" w:hAnsi="Times New Roman" w:cs="Times New Roman"/>
          <w:noProof/>
          <w:sz w:val="24"/>
          <w:szCs w:val="24"/>
        </w:rPr>
        <w:t>to be strategically relevant for Europe but requires strengthening and reinterpretation in certain areas to</w:t>
      </w:r>
      <w:r>
        <w:rPr>
          <w:rFonts w:ascii="Times New Roman" w:hAnsi="Times New Roman" w:cs="Times New Roman"/>
          <w:bCs/>
          <w:noProof/>
          <w:sz w:val="24"/>
          <w:szCs w:val="24"/>
        </w:rPr>
        <w:t xml:space="preserve"> </w:t>
      </w:r>
      <w:r>
        <w:rPr>
          <w:rFonts w:ascii="Times New Roman" w:hAnsi="Times New Roman" w:cs="Times New Roman"/>
          <w:noProof/>
          <w:sz w:val="24"/>
          <w:szCs w:val="24"/>
        </w:rPr>
        <w:t>reflect emerging opportunities and trends.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Given the growing importance of demo</w:t>
      </w:r>
      <w:r>
        <w:rPr>
          <w:rFonts w:ascii="Times New Roman" w:hAnsi="Times New Roman" w:cs="Times New Roman"/>
          <w:noProof/>
          <w:sz w:val="24"/>
          <w:szCs w:val="24"/>
        </w:rPr>
        <w:t xml:space="preserve">graphic ageing - a shared and urgent challenge across Europe - </w:t>
      </w:r>
      <w:r>
        <w:rPr>
          <w:rFonts w:ascii="Times New Roman" w:hAnsi="Times New Roman" w:cs="Times New Roman"/>
          <w:bCs/>
          <w:noProof/>
          <w:sz w:val="24"/>
          <w:szCs w:val="24"/>
        </w:rPr>
        <w:t xml:space="preserve">the AAL JP was considered to be very well justified. </w:t>
      </w:r>
      <w:r>
        <w:rPr>
          <w:rFonts w:ascii="Times New Roman" w:hAnsi="Times New Roman" w:cs="Times New Roman"/>
          <w:noProof/>
          <w:sz w:val="24"/>
          <w:szCs w:val="24"/>
        </w:rPr>
        <w:t xml:space="preserve">In forging new forms of collaboration among various stakeholders and stimulating the creation of new markets, it occupied a unique position </w:t>
      </w:r>
      <w:r>
        <w:rPr>
          <w:rFonts w:ascii="Times New Roman" w:hAnsi="Times New Roman" w:cs="Times New Roman"/>
          <w:noProof/>
          <w:sz w:val="24"/>
          <w:szCs w:val="24"/>
        </w:rPr>
        <w:t>in the policy landscape and well matched the specificities of the European situation. As European activities in this domain expand, the panel found that the Programme must continue to assert its uniqueness and to show leadership within an increasingly crow</w:t>
      </w:r>
      <w:r>
        <w:rPr>
          <w:rFonts w:ascii="Times New Roman" w:hAnsi="Times New Roman" w:cs="Times New Roman"/>
          <w:noProof/>
          <w:sz w:val="24"/>
          <w:szCs w:val="24"/>
        </w:rPr>
        <w:t>ded policy space.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The AAL JP operated as a coherent framework that delivered clear added value for Europe</w:t>
      </w:r>
      <w:r>
        <w:rPr>
          <w:rFonts w:ascii="Times New Roman" w:hAnsi="Times New Roman" w:cs="Times New Roman"/>
          <w:noProof/>
          <w:sz w:val="24"/>
          <w:szCs w:val="24"/>
        </w:rPr>
        <w:t>. In acting as a bridge between research and innovation, the Programme showed strong complementarity with other initiatives and programmes, both EU and</w:t>
      </w:r>
      <w:r>
        <w:rPr>
          <w:rFonts w:ascii="Times New Roman" w:hAnsi="Times New Roman" w:cs="Times New Roman"/>
          <w:noProof/>
          <w:sz w:val="24"/>
          <w:szCs w:val="24"/>
        </w:rPr>
        <w:t xml:space="preserve"> national. The fact that Member States have made contributions significantly beyond the required minimum is strong evidence of their commitment and interest.</w:t>
      </w:r>
    </w:p>
    <w:p w:rsidR="00E535A0" w:rsidRDefault="00C953F5">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Research, development and innovation activity associated with the Programme was found to be reachi</w:t>
      </w:r>
      <w:r>
        <w:rPr>
          <w:rFonts w:ascii="Times New Roman" w:hAnsi="Times New Roman" w:cs="Times New Roman"/>
          <w:bCs/>
          <w:noProof/>
          <w:sz w:val="24"/>
          <w:szCs w:val="24"/>
        </w:rPr>
        <w:t>ng critical levels</w:t>
      </w:r>
      <w:r>
        <w:rPr>
          <w:rFonts w:ascii="Times New Roman" w:hAnsi="Times New Roman" w:cs="Times New Roman"/>
          <w:noProof/>
          <w:sz w:val="24"/>
          <w:szCs w:val="24"/>
        </w:rPr>
        <w:t>. New networks and communities are being created that together significantly enhance the prospects</w:t>
      </w:r>
      <w:r>
        <w:rPr>
          <w:rFonts w:ascii="Times New Roman" w:hAnsi="Times New Roman" w:cs="Times New Roman"/>
          <w:bCs/>
          <w:noProof/>
          <w:sz w:val="24"/>
          <w:szCs w:val="24"/>
        </w:rPr>
        <w:t xml:space="preserve"> </w:t>
      </w:r>
      <w:r>
        <w:rPr>
          <w:rFonts w:ascii="Times New Roman" w:hAnsi="Times New Roman" w:cs="Times New Roman"/>
          <w:noProof/>
          <w:sz w:val="24"/>
          <w:szCs w:val="24"/>
        </w:rPr>
        <w:t>for European players in taking AAL innovations to market. The strong participation of SMEs was particularly</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noteworthy. Although users are </w:t>
      </w:r>
      <w:r>
        <w:rPr>
          <w:rFonts w:ascii="Times New Roman" w:hAnsi="Times New Roman" w:cs="Times New Roman"/>
          <w:noProof/>
          <w:sz w:val="24"/>
          <w:szCs w:val="24"/>
        </w:rPr>
        <w:t>well represented within projects, they were not sufficiently integrated and</w:t>
      </w:r>
      <w:r>
        <w:rPr>
          <w:rFonts w:ascii="Times New Roman" w:hAnsi="Times New Roman" w:cs="Times New Roman"/>
          <w:bCs/>
          <w:noProof/>
          <w:sz w:val="24"/>
          <w:szCs w:val="24"/>
        </w:rPr>
        <w:t xml:space="preserve"> </w:t>
      </w:r>
      <w:r>
        <w:rPr>
          <w:rFonts w:ascii="Times New Roman" w:hAnsi="Times New Roman" w:cs="Times New Roman"/>
          <w:noProof/>
          <w:sz w:val="24"/>
          <w:szCs w:val="24"/>
        </w:rPr>
        <w:t>overall effective user involvement was still sub-critical.</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Activities aimed at improving conditions for industrial exploitation had expanded significantly </w:t>
      </w:r>
      <w:r>
        <w:rPr>
          <w:rFonts w:ascii="Times New Roman" w:hAnsi="Times New Roman" w:cs="Times New Roman"/>
          <w:noProof/>
          <w:sz w:val="24"/>
          <w:szCs w:val="24"/>
        </w:rPr>
        <w:t xml:space="preserve">since the Interim </w:t>
      </w:r>
      <w:r>
        <w:rPr>
          <w:rFonts w:ascii="Times New Roman" w:hAnsi="Times New Roman" w:cs="Times New Roman"/>
          <w:noProof/>
          <w:sz w:val="24"/>
          <w:szCs w:val="24"/>
        </w:rPr>
        <w:t>Evaluation. To ensure sustainability and impact, scalability and integration needed to be more strategically addressed, however. In addition, the knowledge and insights from projects needed to be better shared across the Programme so as to assist market pe</w:t>
      </w:r>
      <w:r>
        <w:rPr>
          <w:rFonts w:ascii="Times New Roman" w:hAnsi="Times New Roman" w:cs="Times New Roman"/>
          <w:noProof/>
          <w:sz w:val="24"/>
          <w:szCs w:val="24"/>
        </w:rPr>
        <w:t>netration.</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Programme was found to be </w:t>
      </w:r>
      <w:r>
        <w:rPr>
          <w:rFonts w:ascii="Times New Roman" w:hAnsi="Times New Roman" w:cs="Times New Roman"/>
          <w:bCs/>
          <w:noProof/>
          <w:sz w:val="24"/>
          <w:szCs w:val="24"/>
        </w:rPr>
        <w:t>well managed and to have well-functioning governance arrangements</w:t>
      </w:r>
      <w:r>
        <w:rPr>
          <w:rFonts w:ascii="Times New Roman" w:hAnsi="Times New Roman" w:cs="Times New Roman"/>
          <w:noProof/>
          <w:sz w:val="24"/>
          <w:szCs w:val="24"/>
        </w:rPr>
        <w:t>. The panel recommended that under AAL JP2, the Member States should take steps to further improve operational performance by building on the trust es</w:t>
      </w:r>
      <w:r>
        <w:rPr>
          <w:rFonts w:ascii="Times New Roman" w:hAnsi="Times New Roman" w:cs="Times New Roman"/>
          <w:noProof/>
          <w:sz w:val="24"/>
          <w:szCs w:val="24"/>
        </w:rPr>
        <w:t>tablished and by analysing carefully possible bottlenecks and improvements. Opportunities should be sought to further optimise the respective governance roles (including the role of the CMU), workflows and procedures.</w:t>
      </w:r>
    </w:p>
    <w:p w:rsidR="00E535A0" w:rsidRDefault="00C953F5">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Progress under the Programme was found</w:t>
      </w:r>
      <w:r>
        <w:rPr>
          <w:rFonts w:ascii="Times New Roman" w:hAnsi="Times New Roman" w:cs="Times New Roman"/>
          <w:bCs/>
          <w:noProof/>
          <w:sz w:val="24"/>
          <w:szCs w:val="24"/>
        </w:rPr>
        <w:t xml:space="preserve"> to be encouraging, although large-scale social and economic impacts had yet to emerge. </w:t>
      </w:r>
      <w:r>
        <w:rPr>
          <w:rFonts w:ascii="Times New Roman" w:hAnsi="Times New Roman" w:cs="Times New Roman"/>
          <w:noProof/>
          <w:sz w:val="24"/>
          <w:szCs w:val="24"/>
        </w:rPr>
        <w:t>The main outcomes were found to be a shared vision, the creation of a new innovation ecosystem of stakeholders and a demonstrated promising potential for exploitation o</w:t>
      </w:r>
      <w:r>
        <w:rPr>
          <w:rFonts w:ascii="Times New Roman" w:hAnsi="Times New Roman" w:cs="Times New Roman"/>
          <w:noProof/>
          <w:sz w:val="24"/>
          <w:szCs w:val="24"/>
        </w:rPr>
        <w:t>f results within a new rapidly evolving field, one of great strategic relevance, economic potential and societal importance. These justify the Programme’s continuation under AAL JP2, where further contributions can be expected.</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wel</w:t>
      </w:r>
      <w:r>
        <w:rPr>
          <w:rFonts w:ascii="Times New Roman" w:hAnsi="Times New Roman" w:cs="Times New Roman"/>
          <w:noProof/>
          <w:sz w:val="24"/>
          <w:szCs w:val="24"/>
        </w:rPr>
        <w:t xml:space="preserve">comed </w:t>
      </w:r>
      <w:hyperlink r:id="rId81" w:history="1">
        <w:r>
          <w:rPr>
            <w:rStyle w:val="Hyperlink"/>
            <w:rFonts w:ascii="Times New Roman" w:hAnsi="Times New Roman" w:cs="Times New Roman"/>
            <w:noProof/>
            <w:sz w:val="24"/>
            <w:szCs w:val="24"/>
          </w:rPr>
          <w:t>the final evaluation report</w:t>
        </w:r>
      </w:hyperlink>
      <w:r>
        <w:rPr>
          <w:rFonts w:ascii="Times New Roman" w:hAnsi="Times New Roman" w:cs="Times New Roman"/>
          <w:noProof/>
          <w:sz w:val="24"/>
          <w:szCs w:val="24"/>
        </w:rPr>
        <w:t xml:space="preserve"> and committed to address its recommendations. In July 2013 the Commission launched a </w:t>
      </w:r>
      <w:hyperlink r:id="rId82" w:history="1">
        <w:r>
          <w:rPr>
            <w:rStyle w:val="Hyperlink"/>
            <w:rFonts w:ascii="Times New Roman" w:hAnsi="Times New Roman" w:cs="Times New Roman"/>
            <w:noProof/>
            <w:sz w:val="24"/>
            <w:szCs w:val="24"/>
          </w:rPr>
          <w:t>proposal</w:t>
        </w:r>
      </w:hyperlink>
      <w:r>
        <w:rPr>
          <w:rFonts w:ascii="Times New Roman" w:hAnsi="Times New Roman" w:cs="Times New Roman"/>
          <w:noProof/>
          <w:sz w:val="24"/>
          <w:szCs w:val="24"/>
        </w:rPr>
        <w:t xml:space="preserve"> fo</w:t>
      </w:r>
      <w:r>
        <w:rPr>
          <w:rFonts w:ascii="Times New Roman" w:hAnsi="Times New Roman" w:cs="Times New Roman"/>
          <w:noProof/>
          <w:sz w:val="24"/>
          <w:szCs w:val="24"/>
        </w:rPr>
        <w:t xml:space="preserve">r a follow-up that in May 2014 was </w:t>
      </w:r>
      <w:hyperlink r:id="rId83" w:history="1">
        <w:r>
          <w:rPr>
            <w:rStyle w:val="Hyperlink"/>
            <w:rFonts w:ascii="Times New Roman" w:hAnsi="Times New Roman" w:cs="Times New Roman"/>
            <w:noProof/>
            <w:sz w:val="24"/>
            <w:szCs w:val="24"/>
          </w:rPr>
          <w:t xml:space="preserve">adopted by the Council </w:t>
        </w:r>
      </w:hyperlink>
      <w:r>
        <w:rPr>
          <w:rFonts w:ascii="Times New Roman" w:hAnsi="Times New Roman" w:cs="Times New Roman"/>
          <w:noProof/>
          <w:sz w:val="24"/>
          <w:szCs w:val="24"/>
        </w:rPr>
        <w:t>in a compromise text. The Active and Assisted Living JP will be further optimised for rapid decision-making and new types of support (l</w:t>
      </w:r>
      <w:r>
        <w:rPr>
          <w:rFonts w:ascii="Times New Roman" w:hAnsi="Times New Roman" w:cs="Times New Roman"/>
          <w:noProof/>
          <w:sz w:val="24"/>
          <w:szCs w:val="24"/>
        </w:rPr>
        <w:t xml:space="preserve">ike prizes and innovation grants) to further lower entrance barriers. Moreover, it will support the implementation of the </w:t>
      </w:r>
      <w:hyperlink r:id="rId84" w:history="1">
        <w:r>
          <w:rPr>
            <w:rStyle w:val="Hyperlink"/>
            <w:rFonts w:ascii="Times New Roman" w:hAnsi="Times New Roman" w:cs="Times New Roman"/>
            <w:noProof/>
            <w:sz w:val="24"/>
            <w:szCs w:val="24"/>
          </w:rPr>
          <w:t>European Innovation Partnersh</w:t>
        </w:r>
        <w:r>
          <w:rPr>
            <w:rStyle w:val="Hyperlink"/>
            <w:rFonts w:ascii="Times New Roman" w:hAnsi="Times New Roman" w:cs="Times New Roman"/>
            <w:noProof/>
            <w:sz w:val="24"/>
            <w:szCs w:val="24"/>
          </w:rPr>
          <w:t>ip on Active and Healthy Ageing</w:t>
        </w:r>
      </w:hyperlink>
      <w:r>
        <w:rPr>
          <w:rFonts w:ascii="Times New Roman" w:hAnsi="Times New Roman" w:cs="Times New Roman"/>
          <w:noProof/>
          <w:sz w:val="24"/>
          <w:szCs w:val="24"/>
        </w:rPr>
        <w:t xml:space="preserve"> by aligning to the ICT-based innovation: from independent living and integrated care (including telehealth and telecare) to fall prevention, medication adherence and age-friendly environments and communities.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bookmarkStart w:id="33" w:name="_Toc426640900"/>
      <w:r>
        <w:rPr>
          <w:rFonts w:ascii="Times New Roman" w:hAnsi="Times New Roman" w:cs="Times New Roman"/>
          <w:b/>
          <w:noProof/>
          <w:sz w:val="24"/>
          <w:szCs w:val="24"/>
        </w:rPr>
        <w:t>16.4. Bonus</w:t>
      </w:r>
      <w:bookmarkEnd w:id="33"/>
      <w:r>
        <w:rPr>
          <w:rFonts w:ascii="Times New Roman" w:hAnsi="Times New Roman" w:cs="Times New Roman"/>
          <w:b/>
          <w:noProof/>
          <w:sz w:val="24"/>
          <w:szCs w:val="24"/>
        </w:rPr>
        <w:t xml:space="preserve"> </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w:t>
      </w:r>
      <w:r>
        <w:rPr>
          <w:rFonts w:ascii="Times New Roman" w:eastAsia="Times New Roman" w:hAnsi="Times New Roman" w:cs="Times New Roman"/>
          <w:noProof/>
          <w:sz w:val="24"/>
          <w:szCs w:val="24"/>
          <w:lang w:eastAsia="en-GB"/>
        </w:rPr>
        <w:t>he Baltic Sea is a unique and semi-land locked inland sea, surrounded by eight EU Member States and Russia. The sea is degraded by many pressures both natural and man-made which seriously impact on the Baltic Sea's capacity to provide the sustainable goods</w:t>
      </w:r>
      <w:r>
        <w:rPr>
          <w:rFonts w:ascii="Times New Roman" w:eastAsia="Times New Roman" w:hAnsi="Times New Roman" w:cs="Times New Roman"/>
          <w:noProof/>
          <w:sz w:val="24"/>
          <w:szCs w:val="24"/>
          <w:lang w:eastAsia="en-GB"/>
        </w:rPr>
        <w:t xml:space="preserve"> and services upon which the region depends.  For example, the world's largest oxygen depleted dead zones are within the Baltic Sea, covering an average area of 49,000 km</w:t>
      </w:r>
      <w:r>
        <w:rPr>
          <w:rFonts w:ascii="Times New Roman" w:eastAsia="Times New Roman" w:hAnsi="Times New Roman" w:cs="Times New Roman"/>
          <w:noProof/>
          <w:sz w:val="24"/>
          <w:szCs w:val="24"/>
          <w:vertAlign w:val="superscript"/>
          <w:lang w:eastAsia="en-GB"/>
        </w:rPr>
        <w:t>2</w:t>
      </w:r>
      <w:r>
        <w:rPr>
          <w:rFonts w:ascii="Times New Roman" w:eastAsia="Times New Roman" w:hAnsi="Times New Roman" w:cs="Times New Roman"/>
          <w:noProof/>
          <w:sz w:val="24"/>
          <w:szCs w:val="24"/>
          <w:lang w:eastAsia="en-GB"/>
        </w:rPr>
        <w:t xml:space="preserve">. </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Solutions to the Baltic Seas challenges can only be achieved through collaborative action undertaken by all of the coastal Baltic states so as to jointly establish innovative solutions and develop common understandings.  This is the role of the Baltic Sea </w:t>
      </w:r>
      <w:r>
        <w:rPr>
          <w:rFonts w:ascii="Times New Roman" w:eastAsia="Times New Roman" w:hAnsi="Times New Roman" w:cs="Times New Roman"/>
          <w:noProof/>
          <w:sz w:val="24"/>
          <w:szCs w:val="24"/>
          <w:lang w:eastAsia="en-GB"/>
        </w:rPr>
        <w:t xml:space="preserve">Research and Development programme BONUS which together with the EU has enabled all coastal Baltic Sea Member States to jointly establish and implement an integrated research and innovation programme for the Baltic Sea. </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Implementation of BONUS commenced i</w:t>
      </w:r>
      <w:r>
        <w:rPr>
          <w:rFonts w:ascii="Times New Roman" w:eastAsia="Times New Roman" w:hAnsi="Times New Roman" w:cs="Times New Roman"/>
          <w:noProof/>
          <w:sz w:val="24"/>
          <w:szCs w:val="24"/>
          <w:lang w:eastAsia="en-GB"/>
        </w:rPr>
        <w:t>n 2012 and is foreseen to continue for at least 5 years until 2017. An interim evaluation was undertaken in 2014 and the Commission's conclusions following this evaluation were adopted in  March 2015</w:t>
      </w:r>
      <w:r>
        <w:rPr>
          <w:rFonts w:ascii="Times New Roman" w:eastAsia="Times New Roman" w:hAnsi="Times New Roman" w:cs="Times New Roman"/>
          <w:noProof/>
          <w:sz w:val="24"/>
          <w:szCs w:val="24"/>
          <w:vertAlign w:val="superscript"/>
          <w:lang w:eastAsia="en-GB"/>
        </w:rPr>
        <w:footnoteReference w:id="72"/>
      </w:r>
      <w:r>
        <w:rPr>
          <w:rFonts w:ascii="Times New Roman" w:eastAsia="Times New Roman" w:hAnsi="Times New Roman" w:cs="Times New Roman"/>
          <w:noProof/>
          <w:sz w:val="24"/>
          <w:szCs w:val="24"/>
          <w:lang w:eastAsia="en-GB"/>
        </w:rPr>
        <w:t xml:space="preserve"> . The evaluation was positive, concluding that BONUS su</w:t>
      </w:r>
      <w:r>
        <w:rPr>
          <w:rFonts w:ascii="Times New Roman" w:eastAsia="Times New Roman" w:hAnsi="Times New Roman" w:cs="Times New Roman"/>
          <w:noProof/>
          <w:sz w:val="24"/>
          <w:szCs w:val="24"/>
          <w:lang w:eastAsia="en-GB"/>
        </w:rPr>
        <w:t>ccessfully establishes an integrated research and development Programme for the Baltic Seas which overcomes the fragmentation of national research programmes, brings together a variety of skills and focusses these on creating the essential knowledge and in</w:t>
      </w:r>
      <w:r>
        <w:rPr>
          <w:rFonts w:ascii="Times New Roman" w:eastAsia="Times New Roman" w:hAnsi="Times New Roman" w:cs="Times New Roman"/>
          <w:noProof/>
          <w:sz w:val="24"/>
          <w:szCs w:val="24"/>
          <w:lang w:eastAsia="en-GB"/>
        </w:rPr>
        <w:t xml:space="preserve">novative solutions necessary to address the Baltic Sea's environmental problems. The evaluation also noted that the agreement of the participating states to a structure which enabled greater centralisation of the management of national funds would further </w:t>
      </w:r>
      <w:r>
        <w:rPr>
          <w:rFonts w:ascii="Times New Roman" w:eastAsia="Times New Roman" w:hAnsi="Times New Roman" w:cs="Times New Roman"/>
          <w:noProof/>
          <w:sz w:val="24"/>
          <w:szCs w:val="24"/>
          <w:lang w:eastAsia="en-GB"/>
        </w:rPr>
        <w:t>improve the programmes administrative efficiency.</w:t>
      </w:r>
    </w:p>
    <w:p w:rsidR="00E535A0" w:rsidRDefault="00C953F5">
      <w:pPr>
        <w:pStyle w:val="berschrift1"/>
        <w:rPr>
          <w:noProof/>
          <w:szCs w:val="24"/>
        </w:rPr>
      </w:pPr>
      <w:bookmarkStart w:id="34" w:name="_Toc433998138"/>
      <w:bookmarkStart w:id="35" w:name="_Toc439752808"/>
      <w:r>
        <w:rPr>
          <w:noProof/>
          <w:szCs w:val="24"/>
        </w:rPr>
        <w:t>Emergence of contractual PPPs as a response to the economic crisis</w:t>
      </w:r>
      <w:bookmarkEnd w:id="34"/>
      <w:bookmarkEnd w:id="35"/>
    </w:p>
    <w:p w:rsidR="00E535A0" w:rsidRDefault="00E535A0">
      <w:pPr>
        <w:autoSpaceDE w:val="0"/>
        <w:autoSpaceDN w:val="0"/>
        <w:adjustRightInd w:val="0"/>
        <w:spacing w:after="0" w:line="240" w:lineRule="auto"/>
        <w:jc w:val="both"/>
        <w:rPr>
          <w:rFonts w:ascii="Times New Roman" w:hAnsi="Times New Roman" w:cs="Times New Roman"/>
          <w:b/>
          <w:b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Launched in November 2008, the research public private partnerships (PPPs) were set up as a response to the economic crisis with a view to</w:t>
      </w:r>
      <w:r>
        <w:rPr>
          <w:rFonts w:ascii="Times New Roman" w:hAnsi="Times New Roman" w:cs="Times New Roman"/>
          <w:noProof/>
          <w:sz w:val="24"/>
          <w:szCs w:val="24"/>
        </w:rPr>
        <w:t xml:space="preserve"> supporting research, development and innovation in the manufacturing, construction and automobile industries, which had seen demand plummet. Although originally envisaged as a short</w:t>
      </w:r>
      <w:r>
        <w:rPr>
          <w:rFonts w:ascii="MS Mincho" w:eastAsia="MS Mincho" w:hAnsi="MS Mincho" w:cs="MS Mincho" w:hint="eastAsia"/>
          <w:noProof/>
          <w:sz w:val="24"/>
          <w:szCs w:val="24"/>
        </w:rPr>
        <w:t>‑</w:t>
      </w:r>
      <w:r>
        <w:rPr>
          <w:rFonts w:ascii="Times New Roman" w:hAnsi="Times New Roman" w:cs="Times New Roman"/>
          <w:noProof/>
          <w:sz w:val="24"/>
          <w:szCs w:val="24"/>
        </w:rPr>
        <w:t>term measure, the ongoing crisis, linked with a better understanding of t</w:t>
      </w:r>
      <w:r>
        <w:rPr>
          <w:rFonts w:ascii="Times New Roman" w:hAnsi="Times New Roman" w:cs="Times New Roman"/>
          <w:noProof/>
          <w:sz w:val="24"/>
          <w:szCs w:val="24"/>
        </w:rPr>
        <w:t>he need for a long</w:t>
      </w:r>
      <w:r>
        <w:rPr>
          <w:rFonts w:ascii="MS Mincho" w:eastAsia="MS Mincho" w:hAnsi="MS Mincho" w:cs="MS Mincho" w:hint="eastAsia"/>
          <w:noProof/>
          <w:sz w:val="24"/>
          <w:szCs w:val="24"/>
        </w:rPr>
        <w:t>‑</w:t>
      </w:r>
      <w:r>
        <w:rPr>
          <w:rFonts w:ascii="Times New Roman" w:hAnsi="Times New Roman" w:cs="Times New Roman"/>
          <w:noProof/>
          <w:sz w:val="24"/>
          <w:szCs w:val="24"/>
        </w:rPr>
        <w:t>term perspective on the support for these strategic industries, has led to a call from industry for a long</w:t>
      </w:r>
      <w:r>
        <w:rPr>
          <w:rFonts w:ascii="MS Mincho" w:eastAsia="MS Mincho" w:hAnsi="MS Mincho" w:cs="MS Mincho" w:hint="eastAsia"/>
          <w:noProof/>
          <w:sz w:val="24"/>
          <w:szCs w:val="24"/>
        </w:rPr>
        <w:t>‑</w:t>
      </w:r>
      <w:r>
        <w:rPr>
          <w:rFonts w:ascii="Times New Roman" w:hAnsi="Times New Roman" w:cs="Times New Roman"/>
          <w:noProof/>
          <w:sz w:val="24"/>
          <w:szCs w:val="24"/>
        </w:rPr>
        <w:t>term commitment to these economically important industrial sectors and to these PPPs.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Factory of the Future (FoF) PPP: About 13% </w:t>
      </w:r>
      <w:r>
        <w:rPr>
          <w:rFonts w:ascii="Times New Roman" w:hAnsi="Times New Roman" w:cs="Times New Roman"/>
          <w:noProof/>
          <w:sz w:val="24"/>
          <w:szCs w:val="24"/>
        </w:rPr>
        <w:t>of the projects and of EC contribution are devoted to this PPP. Funding by NMP theme is € 400m out of € 600m EC funding; industry and EC each contribute 50%.</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Energy efficient Building (EEB) PPP: This PPP accounts for about 7% of the projects and for 8% of </w:t>
      </w:r>
      <w:r>
        <w:rPr>
          <w:rFonts w:ascii="Times New Roman" w:hAnsi="Times New Roman" w:cs="Times New Roman"/>
          <w:noProof/>
          <w:sz w:val="24"/>
          <w:szCs w:val="24"/>
        </w:rPr>
        <w:t>total EC funding in NMP. Funding by NMP Theme is € 250m out of total of € 500m EC funding, industry and EC each contribute 50%.</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Green Car (GC) PPP: It comprises just 2% of the total number of NMP projects and 2.5% of EC funding in the NMP Theme. Funding by</w:t>
      </w:r>
      <w:r>
        <w:rPr>
          <w:rFonts w:ascii="Times New Roman" w:hAnsi="Times New Roman" w:cs="Times New Roman"/>
          <w:noProof/>
          <w:sz w:val="24"/>
          <w:szCs w:val="24"/>
        </w:rPr>
        <w:t xml:space="preserve"> NMP Theme is € 60m out of total of around € 500m EC funding; industry and EC each contribute 50%.</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The Final Evaluation concludes that: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PPPs have proved useful in strengthening the European value chains and in particular in giving a role to SMEs. The </w:t>
      </w:r>
      <w:r>
        <w:rPr>
          <w:rFonts w:ascii="Times New Roman" w:hAnsi="Times New Roman" w:cs="Times New Roman"/>
          <w:noProof/>
          <w:sz w:val="24"/>
          <w:szCs w:val="24"/>
        </w:rPr>
        <w:t>PPPs have all been successful in engaging top industrial companies, SMEs and research organisations within Europe, increasing significantly the large industry and SME participation.</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 PPPs have strong potential for a good overall leverage effect for</w:t>
      </w:r>
      <w:r>
        <w:rPr>
          <w:rFonts w:ascii="Times New Roman" w:hAnsi="Times New Roman" w:cs="Times New Roman"/>
          <w:noProof/>
          <w:sz w:val="24"/>
          <w:szCs w:val="24"/>
        </w:rPr>
        <w:t xml:space="preserve"> private investment, and have boosted industrial participation (57 % in PPPs vs 34 % in FP7 Cooperation).</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three research PPPs have facilitated a closer working relationship between the Commission and industry in the setting of goals and longer-term res</w:t>
      </w:r>
      <w:r>
        <w:rPr>
          <w:rFonts w:ascii="Times New Roman" w:hAnsi="Times New Roman" w:cs="Times New Roman"/>
          <w:noProof/>
          <w:sz w:val="24"/>
          <w:szCs w:val="24"/>
        </w:rPr>
        <w:t>earch programme objectives. This has allowed industry to commit to longer-term strategies for research investment.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stable funding of the research PPPs throughout their 4 years of implementation, as well as the competitive process of distributing the </w:t>
      </w:r>
      <w:r>
        <w:rPr>
          <w:rFonts w:ascii="Times New Roman" w:hAnsi="Times New Roman" w:cs="Times New Roman"/>
          <w:noProof/>
          <w:sz w:val="24"/>
          <w:szCs w:val="24"/>
        </w:rPr>
        <w:t>funding without the use of direct beneficiaries gives increased confidence to industry to invest in participating in these projects.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 PPPs have moved forward in the latest calls to enlarge their coverage of the innovation chain closer to the market</w:t>
      </w:r>
      <w:r>
        <w:rPr>
          <w:rFonts w:ascii="Times New Roman" w:hAnsi="Times New Roman" w:cs="Times New Roman"/>
          <w:noProof/>
          <w:sz w:val="24"/>
          <w:szCs w:val="24"/>
        </w:rPr>
        <w: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PPPs have not achieved a regionally balanced engagement as it has been shown that sector specificities have a stronger role in defining funding opportunities than geographical parity.</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recommendations were made: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governance model of t</w:t>
      </w:r>
      <w:r>
        <w:rPr>
          <w:rFonts w:ascii="Times New Roman" w:hAnsi="Times New Roman" w:cs="Times New Roman"/>
          <w:noProof/>
          <w:sz w:val="24"/>
          <w:szCs w:val="24"/>
        </w:rPr>
        <w:t>he research PPPs should be underpinned by a higher degree of formalisation, particularly with regard to the roles and duties of the private and public parties to the agreement.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research PPP model should be further used, developed and expanded in scope </w:t>
      </w:r>
      <w:r>
        <w:rPr>
          <w:rFonts w:ascii="Times New Roman" w:hAnsi="Times New Roman" w:cs="Times New Roman"/>
          <w:noProof/>
          <w:sz w:val="24"/>
          <w:szCs w:val="24"/>
        </w:rPr>
        <w:t>within Horizon 2020 and provided with sufficient funding to achieve a significant industrial effect.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PPPs should work under the Horizon 2020 common rules, but its procedures need to be further streamlined and simplified to increase ease of entry into P</w:t>
      </w:r>
      <w:r>
        <w:rPr>
          <w:rFonts w:ascii="Times New Roman" w:hAnsi="Times New Roman" w:cs="Times New Roman"/>
          <w:noProof/>
          <w:sz w:val="24"/>
          <w:szCs w:val="24"/>
        </w:rPr>
        <w:t>PP projects for industry, especially SMEs.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order to maximise the benefits and widen participation in the research PPP activities and results, awareness about the research PPPs needs to be strengthened, particularly among the often hard</w:t>
      </w:r>
      <w:r>
        <w:rPr>
          <w:rFonts w:ascii="MS Mincho" w:eastAsia="MS Mincho" w:hAnsi="MS Mincho" w:cs="MS Mincho" w:hint="eastAsia"/>
          <w:noProof/>
          <w:sz w:val="24"/>
          <w:szCs w:val="24"/>
        </w:rPr>
        <w:t>‑</w:t>
      </w:r>
      <w:r>
        <w:rPr>
          <w:rFonts w:ascii="Times New Roman" w:hAnsi="Times New Roman" w:cs="Times New Roman"/>
          <w:noProof/>
          <w:sz w:val="24"/>
          <w:szCs w:val="24"/>
        </w:rPr>
        <w:t>to</w:t>
      </w:r>
      <w:r>
        <w:rPr>
          <w:rFonts w:ascii="MS Mincho" w:eastAsia="MS Mincho" w:hAnsi="MS Mincho" w:cs="MS Mincho" w:hint="eastAsia"/>
          <w:noProof/>
          <w:sz w:val="24"/>
          <w:szCs w:val="24"/>
        </w:rPr>
        <w:t>‑</w:t>
      </w:r>
      <w:r>
        <w:rPr>
          <w:rFonts w:ascii="Times New Roman" w:hAnsi="Times New Roman" w:cs="Times New Roman"/>
          <w:noProof/>
          <w:sz w:val="24"/>
          <w:szCs w:val="24"/>
        </w:rPr>
        <w:t>reach SMEs.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w:t>
      </w:r>
      <w:r>
        <w:rPr>
          <w:rFonts w:ascii="Times New Roman" w:hAnsi="Times New Roman" w:cs="Times New Roman"/>
          <w:noProof/>
          <w:sz w:val="24"/>
          <w:szCs w:val="24"/>
        </w:rPr>
        <w:t>urthermore, the ex-post evaluation of NMP demonstrates that: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introduction of the PPPs has contributed to a better balance in FP7 NMP in terms of supporting different phases in the innovation chain. Such balance between activities at all TRL levels shou</w:t>
      </w:r>
      <w:r>
        <w:rPr>
          <w:rFonts w:ascii="Times New Roman" w:hAnsi="Times New Roman" w:cs="Times New Roman"/>
          <w:noProof/>
          <w:sz w:val="24"/>
          <w:szCs w:val="24"/>
        </w:rPr>
        <w:t xml:space="preserve">ld also be kept as NMP enabled innovation is driven by strong interaction between scientific activities and innovative activities; there is no short cut to innovation.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PPP participants - especially the PPPs Factory of the Future and Energy efficient Build</w:t>
      </w:r>
      <w:r>
        <w:rPr>
          <w:rFonts w:ascii="Times New Roman" w:hAnsi="Times New Roman" w:cs="Times New Roman"/>
          <w:noProof/>
          <w:sz w:val="24"/>
          <w:szCs w:val="24"/>
        </w:rPr>
        <w:t xml:space="preserve">ings, are relatively more productive in terms of economic outputs than participants active in other areas. </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Three quarter of the participants from PPP projects reports that they already have reached the development of a new or significantly improved produc</w:t>
      </w:r>
      <w:r>
        <w:rPr>
          <w:rFonts w:ascii="Times New Roman" w:hAnsi="Times New Roman" w:cs="Times New Roman"/>
          <w:noProof/>
          <w:sz w:val="24"/>
          <w:szCs w:val="24"/>
        </w:rPr>
        <w:t>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participants of on-going projects (that include relatively more PPPs) report consistently higher numbers for high and medium impact as compared to the participants of finished projects (such as for the number of patent applications that is already done </w:t>
      </w:r>
      <w:r>
        <w:rPr>
          <w:rFonts w:ascii="Times New Roman" w:hAnsi="Times New Roman" w:cs="Times New Roman"/>
          <w:noProof/>
          <w:sz w:val="24"/>
          <w:szCs w:val="24"/>
        </w:rPr>
        <w:t>and expected by the end of the project).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was a good decision of EC to change the strategy during the programme. The EC has been successful in pushing the programme, to some extent, towards higher TRL levels.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p>
    <w:p w:rsidR="00E535A0" w:rsidRDefault="00C953F5">
      <w:pPr>
        <w:pStyle w:val="berschrift1"/>
        <w:rPr>
          <w:noProof/>
          <w:szCs w:val="24"/>
        </w:rPr>
      </w:pPr>
      <w:bookmarkStart w:id="36" w:name="_Toc433998139"/>
      <w:bookmarkStart w:id="37" w:name="_Toc439752809"/>
      <w:r>
        <w:rPr>
          <w:noProof/>
          <w:szCs w:val="24"/>
        </w:rPr>
        <w:t>Evaluation of the EURAXESS Project (2008-2</w:t>
      </w:r>
      <w:r>
        <w:rPr>
          <w:noProof/>
          <w:szCs w:val="24"/>
        </w:rPr>
        <w:t>012)</w:t>
      </w:r>
      <w:bookmarkEnd w:id="36"/>
      <w:bookmarkEnd w:id="37"/>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EURAXESS portal has been effective in boosting researcher career development, notably by providing information that assists in overcoming barriers to relocation, such as visa, residence permit, social security, as well as speeding up procedures. Promot</w:t>
      </w:r>
      <w:r>
        <w:rPr>
          <w:rFonts w:ascii="Times New Roman" w:hAnsi="Times New Roman" w:cs="Times New Roman"/>
          <w:noProof/>
          <w:sz w:val="24"/>
          <w:szCs w:val="24"/>
        </w:rPr>
        <w:t>ed through EURAXESS Rights, the Human Resources Strategy for researchers (HRS4R), which supports research institutions and funding organisations in the implementation of the Charter and Code, was also successful. Since the adoption of the Commission Recomm</w:t>
      </w:r>
      <w:r>
        <w:rPr>
          <w:rFonts w:ascii="Times New Roman" w:hAnsi="Times New Roman" w:cs="Times New Roman"/>
          <w:noProof/>
          <w:sz w:val="24"/>
          <w:szCs w:val="24"/>
        </w:rPr>
        <w:t xml:space="preserve">endation on the Charter and Code in 2005, over 1200 institutions from 35 countries in Europe and abroad have endorsed it, and 102 have obtained the Commission's "HR Excellence in Research"  badge. The implementation of the 40 principles of the Charter and </w:t>
      </w:r>
      <w:r>
        <w:rPr>
          <w:rFonts w:ascii="Times New Roman" w:hAnsi="Times New Roman" w:cs="Times New Roman"/>
          <w:noProof/>
          <w:sz w:val="24"/>
          <w:szCs w:val="24"/>
        </w:rPr>
        <w:t>Code by research institutions will render them more attractive for researchers worldwide. The diffusion of the resulting improvements in the management of Human resources within research organisations will also benefit to the attractiveness of the ERA at l</w:t>
      </w:r>
      <w:r>
        <w:rPr>
          <w:rFonts w:ascii="Times New Roman" w:hAnsi="Times New Roman" w:cs="Times New Roman"/>
          <w:noProof/>
          <w:sz w:val="24"/>
          <w:szCs w:val="24"/>
        </w:rPr>
        <w:t xml:space="preserve">arge.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The level of awareness of EURAXESS Services and Jobs among the researchers’ community has slightly increased. Among the different branches, awareness is higher for the EURAXESS Jobs portal than EURAXESS Services.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Coordination of Information a</w:t>
      </w:r>
      <w:r>
        <w:rPr>
          <w:rFonts w:ascii="Times New Roman" w:hAnsi="Times New Roman" w:cs="Times New Roman"/>
          <w:noProof/>
          <w:sz w:val="24"/>
          <w:szCs w:val="24"/>
        </w:rPr>
        <w:t>nd Communication activities within national EURAXESS networks and with the EC is considered to be effective.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Training provided at European level within the current framework is considered of good quality and relevant but frequency should be increased. T</w:t>
      </w:r>
      <w:r>
        <w:rPr>
          <w:rFonts w:ascii="Times New Roman" w:hAnsi="Times New Roman" w:cs="Times New Roman"/>
          <w:noProof/>
          <w:sz w:val="24"/>
          <w:szCs w:val="24"/>
        </w:rPr>
        <w:t>here is also a demand for covering topics not included so far (from issues linked directly to researchers’ mobility to others more related to management of staff and use of communication tools).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The main risk identified for the EURAXESS network is the s</w:t>
      </w:r>
      <w:r>
        <w:rPr>
          <w:rFonts w:ascii="Times New Roman" w:hAnsi="Times New Roman" w:cs="Times New Roman"/>
          <w:noProof/>
          <w:sz w:val="24"/>
          <w:szCs w:val="24"/>
        </w:rPr>
        <w:t>ustainability of the network. Stronger political support at European and national level are considered crucial for ensuring the sustainability of the initiative.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stronger involvement of industry partners in EURAXESS Jobs was very much praised by the s</w:t>
      </w:r>
      <w:r>
        <w:rPr>
          <w:rFonts w:ascii="Times New Roman" w:hAnsi="Times New Roman" w:cs="Times New Roman"/>
          <w:noProof/>
          <w:sz w:val="24"/>
          <w:szCs w:val="24"/>
        </w:rPr>
        <w:t>takeholders encountered. In particular, allowing industry partners to publish their vacancies on the portal was deemed as a good way to increase opportunities for researchers and to strengthen cooperation with private sector.</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Evidence collected for the </w:t>
      </w:r>
      <w:r>
        <w:rPr>
          <w:rFonts w:ascii="Times New Roman" w:hAnsi="Times New Roman" w:cs="Times New Roman"/>
          <w:noProof/>
          <w:sz w:val="24"/>
          <w:szCs w:val="24"/>
        </w:rPr>
        <w:t>evaluation of EURAXESS links in the period 2008-2012 pointed out that EURAXESS Links responds to most of researchers’ needs in the US, Japan and China.</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Many researchers expressed their problems in permeating the vast array of local institutions in the c</w:t>
      </w:r>
      <w:r>
        <w:rPr>
          <w:rFonts w:ascii="Times New Roman" w:hAnsi="Times New Roman" w:cs="Times New Roman"/>
          <w:noProof/>
          <w:sz w:val="24"/>
          <w:szCs w:val="24"/>
        </w:rPr>
        <w:t xml:space="preserve">ountries where they are based, due to intrinsic complexity, the multiplicity of actors and, in the case of China and Japan, the relevance of language skills that European researchers often lack.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Awareness of EURAXESS Link is varied. It appears to be hi</w:t>
      </w:r>
      <w:r>
        <w:rPr>
          <w:rFonts w:ascii="Times New Roman" w:hAnsi="Times New Roman" w:cs="Times New Roman"/>
          <w:noProof/>
          <w:sz w:val="24"/>
          <w:szCs w:val="24"/>
        </w:rPr>
        <w:t>gher in Japan and China than in the US.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Among good practices worth implementing across the EURAXESS Links network, it is worth considering the high level of collaboration between the IO and EU Delegation, especially in China and in Japan. Networking eve</w:t>
      </w:r>
      <w:r>
        <w:rPr>
          <w:rFonts w:ascii="Times New Roman" w:hAnsi="Times New Roman" w:cs="Times New Roman"/>
          <w:noProof/>
          <w:sz w:val="24"/>
          <w:szCs w:val="24"/>
        </w:rPr>
        <w:t>nts in all three countries have also received nearly universal praise, as has the European Funding Guide, which has already been adopted elsewhere after initial success in Japan.</w:t>
      </w:r>
    </w:p>
    <w:p w:rsidR="00E535A0" w:rsidRDefault="00E535A0">
      <w:pPr>
        <w:autoSpaceDE w:val="0"/>
        <w:autoSpaceDN w:val="0"/>
        <w:adjustRightInd w:val="0"/>
        <w:spacing w:after="0" w:line="240" w:lineRule="auto"/>
        <w:rPr>
          <w:noProof/>
          <w:szCs w:val="24"/>
        </w:rPr>
      </w:pPr>
    </w:p>
    <w:p w:rsidR="00E535A0" w:rsidRDefault="00C953F5">
      <w:pPr>
        <w:spacing w:line="240" w:lineRule="auto"/>
        <w:rPr>
          <w:noProof/>
          <w:szCs w:val="24"/>
        </w:rPr>
      </w:pPr>
      <w:r>
        <w:rPr>
          <w:noProof/>
          <w:szCs w:val="24"/>
        </w:rPr>
        <w:br w:type="page"/>
      </w:r>
    </w:p>
    <w:p w:rsidR="00E535A0" w:rsidRDefault="00C953F5">
      <w:pPr>
        <w:pStyle w:val="berschrift1"/>
        <w:rPr>
          <w:noProof/>
          <w:szCs w:val="24"/>
        </w:rPr>
      </w:pPr>
      <w:bookmarkStart w:id="38" w:name="_Toc433998140"/>
      <w:bookmarkStart w:id="39" w:name="_Toc439752810"/>
      <w:r>
        <w:rPr>
          <w:noProof/>
          <w:szCs w:val="24"/>
        </w:rPr>
        <w:t>Open Access to Scientific Peer Reviewed Publications in FP7</w:t>
      </w:r>
      <w:bookmarkEnd w:id="38"/>
      <w:bookmarkEnd w:id="39"/>
    </w:p>
    <w:p w:rsidR="00E535A0" w:rsidRDefault="00E535A0">
      <w:pPr>
        <w:spacing w:after="0" w:line="240" w:lineRule="auto"/>
        <w:jc w:val="both"/>
        <w:rPr>
          <w:rFonts w:ascii="Times New Roman" w:eastAsia="Calibri" w:hAnsi="Times New Roman" w:cs="Times New Roman"/>
          <w:noProof/>
          <w:sz w:val="24"/>
          <w:szCs w:val="24"/>
        </w:rPr>
      </w:pPr>
    </w:p>
    <w:p w:rsidR="00E535A0" w:rsidRDefault="00C953F5">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rPr>
        <w:t xml:space="preserve">Open access </w:t>
      </w:r>
      <w:r>
        <w:rPr>
          <w:rFonts w:ascii="Times New Roman" w:eastAsia="Calibri" w:hAnsi="Times New Roman" w:cs="Times New Roman"/>
          <w:bCs/>
          <w:noProof/>
          <w:sz w:val="24"/>
          <w:szCs w:val="24"/>
        </w:rPr>
        <w:t>(OA) can be defined as online access to the results of publicly funded research at no charge to the end user.</w:t>
      </w:r>
      <w:r>
        <w:rPr>
          <w:rFonts w:ascii="Times New Roman" w:eastAsia="Calibri" w:hAnsi="Times New Roman" w:cs="Times New Roman"/>
          <w:noProof/>
          <w:sz w:val="24"/>
          <w:szCs w:val="24"/>
        </w:rPr>
        <w:t xml:space="preserve"> Over the last years, an increasing number of governments, research funding bodies and research performing institutions world-wide have therefore developed open access policies to improve the access to the scientific publications resulting from the researc</w:t>
      </w:r>
      <w:r>
        <w:rPr>
          <w:rFonts w:ascii="Times New Roman" w:eastAsia="Calibri" w:hAnsi="Times New Roman" w:cs="Times New Roman"/>
          <w:noProof/>
          <w:sz w:val="24"/>
          <w:szCs w:val="24"/>
        </w:rPr>
        <w:t xml:space="preserve">h they fund. Two main business models for open access to scientific peer reviewed publications have been developed: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Self-archiving</w:t>
      </w:r>
      <w:r>
        <w:rPr>
          <w:rFonts w:ascii="Times New Roman" w:hAnsi="Times New Roman" w:cs="Times New Roman"/>
          <w:noProof/>
          <w:sz w:val="24"/>
          <w:szCs w:val="24"/>
        </w:rPr>
        <w:t xml:space="preserve"> (also referred to as 'green' open access) means that the published article or the final peer-reviewed manuscript is archived</w:t>
      </w:r>
      <w:r>
        <w:rPr>
          <w:rFonts w:ascii="Times New Roman" w:hAnsi="Times New Roman" w:cs="Times New Roman"/>
          <w:noProof/>
          <w:sz w:val="24"/>
          <w:szCs w:val="24"/>
        </w:rPr>
        <w:t xml:space="preserve"> (deposited) by the author - or a representative - in an online repository before, alongside or after its publication. Repository software usually allows authors to delay access to the article ('embargo period').  Some publishers request embargo periods, a</w:t>
      </w:r>
      <w:r>
        <w:rPr>
          <w:rFonts w:ascii="Times New Roman" w:hAnsi="Times New Roman" w:cs="Times New Roman"/>
          <w:noProof/>
          <w:sz w:val="24"/>
          <w:szCs w:val="24"/>
        </w:rPr>
        <w:t>rguing that these protect the value of the journal subscriptions they sell.</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Open access publishing</w:t>
      </w:r>
      <w:r>
        <w:rPr>
          <w:rFonts w:ascii="Times New Roman" w:hAnsi="Times New Roman" w:cs="Times New Roman"/>
          <w:noProof/>
          <w:sz w:val="24"/>
          <w:szCs w:val="24"/>
        </w:rPr>
        <w:t xml:space="preserve"> (also referred to as 'gold' open access) means that an article is immediately provided in open access mode when published. In this model, the payment of publ</w:t>
      </w:r>
      <w:r>
        <w:rPr>
          <w:rFonts w:ascii="Times New Roman" w:hAnsi="Times New Roman" w:cs="Times New Roman"/>
          <w:noProof/>
          <w:sz w:val="24"/>
          <w:szCs w:val="24"/>
        </w:rPr>
        <w:t xml:space="preserve">ication costs is shifted away from readers (paying via subscriptions) to the author, through a one-off charge, a so called 'Article (sometimes 'Author') Processing Charge' (APCs). These can usually be borne by the university or research institute to which </w:t>
      </w:r>
      <w:r>
        <w:rPr>
          <w:rFonts w:ascii="Times New Roman" w:hAnsi="Times New Roman" w:cs="Times New Roman"/>
          <w:noProof/>
          <w:sz w:val="24"/>
          <w:szCs w:val="24"/>
        </w:rPr>
        <w:t>the researcher is affiliated, or to the funding agency supporting the research. In other cases, the costs of open access publishing are covered by subsidies or other funding models.</w:t>
      </w:r>
    </w:p>
    <w:p w:rsidR="00E535A0" w:rsidRDefault="00C953F5">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has been leading by example by promoting open access to sci</w:t>
      </w:r>
      <w:r>
        <w:rPr>
          <w:rFonts w:ascii="Times New Roman" w:eastAsia="Times New Roman" w:hAnsi="Times New Roman" w:cs="Times New Roman"/>
          <w:noProof/>
          <w:sz w:val="24"/>
          <w:szCs w:val="24"/>
          <w:lang w:eastAsia="en-GB"/>
        </w:rPr>
        <w:t>entific peer reviewed publications in FP7. For green open access it is running a pilot action in 7 areas of FP7</w:t>
      </w:r>
      <w:r>
        <w:rPr>
          <w:rFonts w:ascii="Times New Roman" w:eastAsia="Times New Roman" w:hAnsi="Times New Roman" w:cs="Times New Roman"/>
          <w:noProof/>
          <w:sz w:val="24"/>
          <w:szCs w:val="24"/>
          <w:vertAlign w:val="superscript"/>
          <w:lang w:eastAsia="en-GB"/>
        </w:rPr>
        <w:footnoteReference w:id="73"/>
      </w:r>
      <w:r>
        <w:rPr>
          <w:rFonts w:ascii="Times New Roman" w:eastAsia="Times New Roman" w:hAnsi="Times New Roman" w:cs="Times New Roman"/>
          <w:noProof/>
          <w:sz w:val="24"/>
          <w:szCs w:val="24"/>
          <w:lang w:eastAsia="en-GB"/>
        </w:rPr>
        <w:t>, mandating green open access on a 'best effort' basis (embargo period 6 months for natural sciences and 12 months for social sciences and human</w:t>
      </w:r>
      <w:r>
        <w:rPr>
          <w:rFonts w:ascii="Times New Roman" w:eastAsia="Times New Roman" w:hAnsi="Times New Roman" w:cs="Times New Roman"/>
          <w:noProof/>
          <w:sz w:val="24"/>
          <w:szCs w:val="24"/>
          <w:lang w:eastAsia="en-GB"/>
        </w:rPr>
        <w:t>ities).</w:t>
      </w:r>
      <w:r>
        <w:rPr>
          <w:rFonts w:ascii="Times New Roman" w:eastAsia="Times New Roman" w:hAnsi="Times New Roman" w:cs="Times New Roman"/>
          <w:noProof/>
          <w:sz w:val="24"/>
          <w:szCs w:val="24"/>
          <w:vertAlign w:val="superscript"/>
          <w:lang w:eastAsia="en-GB"/>
        </w:rPr>
        <w:footnoteReference w:id="74"/>
      </w:r>
      <w:r>
        <w:rPr>
          <w:rFonts w:ascii="Times New Roman" w:eastAsia="Times New Roman" w:hAnsi="Times New Roman" w:cs="Times New Roman"/>
          <w:noProof/>
          <w:sz w:val="24"/>
          <w:szCs w:val="24"/>
          <w:lang w:eastAsia="en-GB"/>
        </w:rPr>
        <w:t xml:space="preserve"> A 2011 survey of projects participating in this pilot found no major difficulties for projects to comply with these provisions.</w:t>
      </w:r>
      <w:r>
        <w:rPr>
          <w:rFonts w:ascii="Times New Roman" w:eastAsia="Times New Roman" w:hAnsi="Times New Roman" w:cs="Times New Roman"/>
          <w:noProof/>
          <w:sz w:val="24"/>
          <w:szCs w:val="24"/>
          <w:vertAlign w:val="superscript"/>
          <w:lang w:eastAsia="en-GB"/>
        </w:rPr>
        <w:footnoteReference w:id="75"/>
      </w:r>
      <w:r>
        <w:rPr>
          <w:rFonts w:ascii="Times New Roman" w:eastAsia="Times New Roman" w:hAnsi="Times New Roman" w:cs="Times New Roman"/>
          <w:noProof/>
          <w:sz w:val="24"/>
          <w:szCs w:val="24"/>
          <w:lang w:eastAsia="en-GB"/>
        </w:rPr>
        <w:t xml:space="preserve"> Furthermore, the Commission also supported open access in all areas of FP7 by making relevant costs for gold open acce</w:t>
      </w:r>
      <w:r>
        <w:rPr>
          <w:rFonts w:ascii="Times New Roman" w:eastAsia="Times New Roman" w:hAnsi="Times New Roman" w:cs="Times New Roman"/>
          <w:noProof/>
          <w:sz w:val="24"/>
          <w:szCs w:val="24"/>
          <w:lang w:eastAsia="en-GB"/>
        </w:rPr>
        <w:t>ss (APCs) eligible for reimbursement as part of the overall project grant.</w:t>
      </w:r>
    </w:p>
    <w:p w:rsidR="00E535A0" w:rsidRDefault="00C953F5">
      <w:pPr>
        <w:spacing w:after="24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1. Uptake of open access in FP7</w:t>
      </w:r>
    </w:p>
    <w:p w:rsidR="00E535A0" w:rsidRDefault="00C953F5">
      <w:p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1.1. Data Source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funded project OpenAIRE (</w:t>
      </w:r>
      <w:hyperlink r:id="rId85" w:history="1">
        <w:r>
          <w:rPr>
            <w:rFonts w:ascii="Times New Roman" w:hAnsi="Times New Roman" w:cs="Times New Roman"/>
            <w:noProof/>
            <w:sz w:val="24"/>
            <w:szCs w:val="24"/>
            <w:u w:val="single"/>
          </w:rPr>
          <w:t>www.openaire.eu</w:t>
        </w:r>
      </w:hyperlink>
      <w:r>
        <w:rPr>
          <w:rFonts w:ascii="Times New Roman" w:hAnsi="Times New Roman" w:cs="Times New Roman"/>
          <w:noProof/>
          <w:sz w:val="24"/>
          <w:szCs w:val="24"/>
        </w:rPr>
        <w:t xml:space="preserve">) promotes open scholarship and substantially improve the discoverability and reusability of research publications and data. OpenAIRE and its successor projects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assist in monitoring FP and Horizon 2020 research outputs. OpenAIRE computes statist</w:t>
      </w:r>
      <w:r>
        <w:rPr>
          <w:rFonts w:ascii="Times New Roman" w:hAnsi="Times New Roman" w:cs="Times New Roman"/>
          <w:noProof/>
          <w:sz w:val="24"/>
          <w:szCs w:val="24"/>
        </w:rPr>
        <w:t>ics based on data retrieved from a range of sources: OA repositories and journals (literature and data), CRIS systems, library databases and end-user feedbacks. They also employ a variety of deduplication, cleaning, and text-mining processes on the metadat</w:t>
      </w:r>
      <w:r>
        <w:rPr>
          <w:rFonts w:ascii="Times New Roman" w:hAnsi="Times New Roman" w:cs="Times New Roman"/>
          <w:noProof/>
          <w:sz w:val="24"/>
          <w:szCs w:val="24"/>
        </w:rPr>
        <w:t xml:space="preserve">a, as well as on the actual content. </w:t>
      </w:r>
    </w:p>
    <w:p w:rsidR="00E535A0" w:rsidRDefault="00C953F5">
      <w:p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1.2. Overall uptake of open access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From the total of 171,258 FP7 publications 92,826 are OA, 3,216 are restricted (i.e., OA but with a more restrictive license or restricted to specific groups), while 315 are still in</w:t>
      </w:r>
      <w:r>
        <w:rPr>
          <w:rFonts w:ascii="Times New Roman" w:hAnsi="Times New Roman" w:cs="Times New Roman"/>
          <w:noProof/>
          <w:sz w:val="24"/>
          <w:szCs w:val="24"/>
        </w:rPr>
        <w:t xml:space="preserve"> embargo.  This translates to a 54,2% success rate. It should be also noted, however, that not all FP7 projects have yet ended. At the time of writing and that, furthermore, publications are also published after the end of a project. The figure of 54.2% is</w:t>
      </w:r>
      <w:r>
        <w:rPr>
          <w:rFonts w:ascii="Times New Roman" w:hAnsi="Times New Roman" w:cs="Times New Roman"/>
          <w:noProof/>
          <w:sz w:val="24"/>
          <w:szCs w:val="24"/>
        </w:rPr>
        <w:t xml:space="preserve"> therefore provisional. Furthermore, looking at individual years (see table 1 below), open access publications have significantly increased in recent years, reaching  67% in 2014 and 80% in 2015. This could be seen as an indicator of the growing support to</w:t>
      </w:r>
      <w:r>
        <w:rPr>
          <w:rFonts w:ascii="Times New Roman" w:hAnsi="Times New Roman" w:cs="Times New Roman"/>
          <w:noProof/>
          <w:sz w:val="24"/>
          <w:szCs w:val="24"/>
        </w:rPr>
        <w:t xml:space="preserve">wards open access in the scientific community.  </w:t>
      </w:r>
    </w:p>
    <w:p w:rsidR="00E535A0" w:rsidRDefault="00C953F5">
      <w:pPr>
        <w:spacing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Overall FP7 OA evaluation.</w:t>
      </w:r>
    </w:p>
    <w:p w:rsidR="00E535A0" w:rsidRDefault="00C953F5">
      <w:pPr>
        <w:spacing w:line="240" w:lineRule="auto"/>
        <w:jc w:val="center"/>
        <w:rPr>
          <w:rFonts w:ascii="Times New Roman" w:hAnsi="Times New Roman" w:cs="Times New Roman"/>
          <w:noProof/>
          <w:sz w:val="24"/>
          <w:szCs w:val="24"/>
        </w:rPr>
      </w:pPr>
      <w:r>
        <w:rPr>
          <w:noProof/>
          <w:lang w:val="de-DE" w:eastAsia="de-DE"/>
        </w:rPr>
        <w:drawing>
          <wp:inline distT="0" distB="0" distL="0" distR="0" wp14:anchorId="6A6DA8B3" wp14:editId="0BEDC3A1">
            <wp:extent cx="4101465" cy="2885440"/>
            <wp:effectExtent l="0" t="0" r="1333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highlight w:val="yellow"/>
        </w:rPr>
        <w:fldChar w:fldCharType="begin"/>
      </w:r>
      <w:r>
        <w:rPr>
          <w:rFonts w:ascii="Times New Roman" w:hAnsi="Times New Roman" w:cs="Times New Roman"/>
          <w:noProof/>
          <w:sz w:val="24"/>
          <w:szCs w:val="24"/>
        </w:rPr>
        <w:instrText xml:space="preserve"> REF _Ref301170572 \h </w:instrText>
      </w:r>
      <w:r>
        <w:rPr>
          <w:rFonts w:ascii="Times New Roman" w:hAnsi="Times New Roman" w:cs="Times New Roman"/>
          <w:noProof/>
          <w:sz w:val="24"/>
          <w:szCs w:val="24"/>
          <w:highlight w:val="yellow"/>
        </w:rPr>
        <w:instrText xml:space="preserve"> \* MERGEFORMAT </w:instrText>
      </w:r>
      <w:r>
        <w:rPr>
          <w:rFonts w:ascii="Times New Roman" w:hAnsi="Times New Roman" w:cs="Times New Roman"/>
          <w:noProof/>
          <w:sz w:val="24"/>
          <w:szCs w:val="24"/>
          <w:highlight w:val="yellow"/>
        </w:rPr>
      </w:r>
      <w:r>
        <w:rPr>
          <w:rFonts w:ascii="Times New Roman" w:hAnsi="Times New Roman" w:cs="Times New Roman"/>
          <w:noProof/>
          <w:sz w:val="24"/>
          <w:szCs w:val="24"/>
          <w:highlight w:val="yellow"/>
        </w:rPr>
        <w:fldChar w:fldCharType="separate"/>
      </w:r>
      <w:r>
        <w:rPr>
          <w:rFonts w:ascii="Times New Roman" w:hAnsi="Times New Roman" w:cs="Times New Roman"/>
          <w:noProof/>
          <w:sz w:val="24"/>
          <w:szCs w:val="24"/>
        </w:rPr>
        <w:t>Table 1</w:t>
      </w:r>
      <w:r>
        <w:rPr>
          <w:rFonts w:ascii="Times New Roman" w:hAnsi="Times New Roman" w:cs="Times New Roman"/>
          <w:noProof/>
          <w:sz w:val="24"/>
          <w:szCs w:val="24"/>
          <w:highlight w:val="yellow"/>
        </w:rPr>
        <w:fldChar w:fldCharType="end"/>
      </w:r>
      <w:r>
        <w:rPr>
          <w:rFonts w:ascii="Times New Roman" w:hAnsi="Times New Roman" w:cs="Times New Roman"/>
          <w:noProof/>
          <w:sz w:val="24"/>
          <w:szCs w:val="24"/>
        </w:rPr>
        <w:t xml:space="preserve"> shows the breakdown of FP7 publications from 2007-2015 broken down by their  access state. The overall data is somewhat biased to closed access as a) we cannot easily define OA articles in hybrid journals, and b) there is still a large number of not fully</w:t>
      </w:r>
      <w:r>
        <w:rPr>
          <w:rFonts w:ascii="Times New Roman" w:hAnsi="Times New Roman" w:cs="Times New Roman"/>
          <w:noProof/>
          <w:sz w:val="24"/>
          <w:szCs w:val="24"/>
        </w:rPr>
        <w:t xml:space="preserve"> OpenAIRE compliant repositories (i.e., no funding information attached to the publication metadata) so FP7 publications may have been deposited but not yet identified. </w:t>
      </w:r>
    </w:p>
    <w:p w:rsidR="00E535A0" w:rsidRDefault="00E535A0">
      <w:pPr>
        <w:rPr>
          <w:rFonts w:ascii="Times New Roman" w:hAnsi="Times New Roman" w:cs="Times New Roman"/>
          <w:noProof/>
          <w:sz w:val="24"/>
          <w:szCs w:val="24"/>
        </w:rPr>
      </w:pPr>
    </w:p>
    <w:p w:rsidR="00E535A0" w:rsidRDefault="00E535A0">
      <w:pPr>
        <w:rPr>
          <w:rFonts w:ascii="Times New Roman" w:hAnsi="Times New Roman" w:cs="Times New Roman"/>
          <w:noProof/>
          <w:sz w:val="24"/>
          <w:szCs w:val="24"/>
        </w:rPr>
      </w:pPr>
    </w:p>
    <w:p w:rsidR="00E535A0" w:rsidRDefault="00C953F5">
      <w:pPr>
        <w:pStyle w:val="Beschriftung"/>
        <w:keepNext/>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SEQ Table \* ARABIC </w:instrText>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1</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 FP7 publications 2007-2015 by access status</w:t>
      </w:r>
    </w:p>
    <w:tbl>
      <w:tblPr>
        <w:tblStyle w:val="MittlereListe2-Akzent5"/>
        <w:tblW w:w="9962" w:type="dxa"/>
        <w:tblLayout w:type="fixed"/>
        <w:tblLook w:val="04A0" w:firstRow="1" w:lastRow="0" w:firstColumn="1" w:lastColumn="0" w:noHBand="0" w:noVBand="1"/>
      </w:tblPr>
      <w:tblGrid>
        <w:gridCol w:w="817"/>
        <w:gridCol w:w="453"/>
        <w:gridCol w:w="1532"/>
        <w:gridCol w:w="1701"/>
        <w:gridCol w:w="1134"/>
        <w:gridCol w:w="1417"/>
        <w:gridCol w:w="992"/>
        <w:gridCol w:w="1916"/>
      </w:tblGrid>
      <w:tr w:rsidR="00E535A0" w:rsidTr="00E535A0">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1270" w:type="dxa"/>
            <w:gridSpan w:val="2"/>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 xml:space="preserve">Year </w:t>
            </w:r>
          </w:p>
        </w:tc>
        <w:tc>
          <w:tcPr>
            <w:tcW w:w="1532"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O</w:t>
            </w:r>
            <w:r>
              <w:rPr>
                <w:rFonts w:ascii="Times New Roman" w:hAnsi="Times New Roman" w:cs="Times New Roman"/>
                <w:noProof/>
                <w:lang w:val="en-GB"/>
              </w:rPr>
              <w:t>pen Access</w:t>
            </w:r>
          </w:p>
        </w:tc>
        <w:tc>
          <w:tcPr>
            <w:tcW w:w="1701"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Closed Access</w:t>
            </w:r>
          </w:p>
        </w:tc>
        <w:tc>
          <w:tcPr>
            <w:tcW w:w="1134"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Embargo</w:t>
            </w:r>
          </w:p>
        </w:tc>
        <w:tc>
          <w:tcPr>
            <w:tcW w:w="1417"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Restricted</w:t>
            </w:r>
          </w:p>
        </w:tc>
        <w:tc>
          <w:tcPr>
            <w:tcW w:w="992"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Total</w:t>
            </w:r>
          </w:p>
        </w:tc>
        <w:tc>
          <w:tcPr>
            <w:tcW w:w="1916" w:type="dxa"/>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OA success rate</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2007</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142</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14</w:t>
            </w:r>
          </w:p>
        </w:tc>
        <w:tc>
          <w:tcPr>
            <w:tcW w:w="1134" w:type="dxa"/>
            <w:vAlign w:val="bottom"/>
            <w:hideMark/>
          </w:tcPr>
          <w:p w:rsidR="00E535A0" w:rsidRDefault="00E53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8</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164</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87%</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2008</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783</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295</w:t>
            </w:r>
          </w:p>
        </w:tc>
        <w:tc>
          <w:tcPr>
            <w:tcW w:w="1134" w:type="dxa"/>
            <w:vAlign w:val="bottom"/>
            <w:hideMark/>
          </w:tcPr>
          <w:p w:rsidR="00E535A0" w:rsidRDefault="00E53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52</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1,130</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69%</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2009</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3,179</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1,992</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147</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5,319</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60%</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2010</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7,039</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5,063</w:t>
            </w:r>
          </w:p>
        </w:tc>
        <w:tc>
          <w:tcPr>
            <w:tcW w:w="1134"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w:t>
            </w: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291</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12,400</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57%</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2011</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11,385</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9,534</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14</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502</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21,438</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53%</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2012</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17,271</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14,345</w:t>
            </w:r>
          </w:p>
        </w:tc>
        <w:tc>
          <w:tcPr>
            <w:tcW w:w="1134"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37</w:t>
            </w: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567</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32,237</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54%</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2013</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23,035</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18,245</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49</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673</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42,019</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55%</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2014</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21,911</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10,276</w:t>
            </w:r>
          </w:p>
        </w:tc>
        <w:tc>
          <w:tcPr>
            <w:tcW w:w="1134"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106</w:t>
            </w: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478</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32,797</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67%</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2015</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5,871</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952</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102</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239</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7,319</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80%</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4BACC6" w:themeColor="accent5"/>
            </w:tcBorders>
            <w:shd w:val="clear" w:color="auto" w:fill="auto"/>
            <w:noWrap/>
            <w:hideMark/>
          </w:tcPr>
          <w:p w:rsidR="00E535A0" w:rsidRDefault="00C953F5">
            <w:pPr>
              <w:rPr>
                <w:rFonts w:ascii="Times New Roman" w:hAnsi="Times New Roman" w:cs="Times New Roman"/>
                <w:b/>
                <w:noProof/>
                <w:lang w:val="en-GB"/>
              </w:rPr>
            </w:pPr>
            <w:r>
              <w:rPr>
                <w:rFonts w:ascii="Times New Roman" w:hAnsi="Times New Roman" w:cs="Times New Roman"/>
                <w:b/>
                <w:noProof/>
                <w:lang w:val="en-GB"/>
              </w:rPr>
              <w:t>Total</w:t>
            </w:r>
          </w:p>
        </w:tc>
        <w:tc>
          <w:tcPr>
            <w:tcW w:w="1985" w:type="dxa"/>
            <w:gridSpan w:val="2"/>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eastAsia="Times New Roman" w:hAnsi="Times New Roman" w:cs="Times New Roman"/>
                <w:b/>
                <w:noProof/>
                <w:color w:val="000000"/>
                <w:lang w:val="en-GB"/>
              </w:rPr>
              <w:t>90,616</w:t>
            </w:r>
          </w:p>
        </w:tc>
        <w:tc>
          <w:tcPr>
            <w:tcW w:w="1701"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eastAsia="Times New Roman" w:hAnsi="Times New Roman" w:cs="Times New Roman"/>
                <w:b/>
                <w:noProof/>
                <w:color w:val="000000"/>
                <w:lang w:val="en-GB"/>
              </w:rPr>
              <w:t>60,716</w:t>
            </w:r>
          </w:p>
        </w:tc>
        <w:tc>
          <w:tcPr>
            <w:tcW w:w="1134"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eastAsia="Times New Roman" w:hAnsi="Times New Roman" w:cs="Times New Roman"/>
                <w:b/>
                <w:noProof/>
                <w:color w:val="000000"/>
                <w:lang w:val="en-GB"/>
              </w:rPr>
              <w:t>312</w:t>
            </w:r>
          </w:p>
        </w:tc>
        <w:tc>
          <w:tcPr>
            <w:tcW w:w="1417"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eastAsia="Times New Roman" w:hAnsi="Times New Roman" w:cs="Times New Roman"/>
                <w:b/>
                <w:noProof/>
                <w:color w:val="000000"/>
                <w:lang w:val="en-GB"/>
              </w:rPr>
              <w:t>2,957</w:t>
            </w:r>
          </w:p>
        </w:tc>
        <w:tc>
          <w:tcPr>
            <w:tcW w:w="992"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eastAsia="Times New Roman" w:hAnsi="Times New Roman" w:cs="Times New Roman"/>
                <w:b/>
                <w:noProof/>
                <w:color w:val="000000"/>
                <w:lang w:val="en-GB"/>
              </w:rPr>
              <w:t>154,823</w:t>
            </w:r>
          </w:p>
        </w:tc>
        <w:tc>
          <w:tcPr>
            <w:tcW w:w="1916" w:type="dxa"/>
            <w:tcBorders>
              <w:top w:val="single" w:sz="4" w:space="0" w:color="4BACC6" w:themeColor="accent5"/>
            </w:tcBorders>
            <w:shd w:val="clear" w:color="auto" w:fill="auto"/>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lang w:val="en-GB"/>
              </w:rPr>
            </w:pPr>
            <w:r>
              <w:rPr>
                <w:rFonts w:ascii="Times New Roman" w:eastAsia="Times New Roman" w:hAnsi="Times New Roman" w:cs="Times New Roman"/>
                <w:b/>
                <w:noProof/>
                <w:color w:val="000000"/>
                <w:lang w:val="en-GB"/>
              </w:rPr>
              <w:t>59%</w:t>
            </w:r>
          </w:p>
        </w:tc>
      </w:tr>
    </w:tbl>
    <w:p w:rsidR="00E535A0" w:rsidRDefault="00E535A0">
      <w:pPr>
        <w:keepNext/>
        <w:jc w:val="center"/>
        <w:rPr>
          <w:noProof/>
        </w:rPr>
      </w:pPr>
    </w:p>
    <w:p w:rsidR="00E535A0" w:rsidRDefault="00E535A0">
      <w:pPr>
        <w:keepNext/>
        <w:jc w:val="center"/>
        <w:rPr>
          <w:noProof/>
        </w:rPr>
      </w:pPr>
    </w:p>
    <w:p w:rsidR="00E535A0" w:rsidRDefault="00C953F5">
      <w:pPr>
        <w:keepNext/>
        <w:jc w:val="center"/>
        <w:rPr>
          <w:noProof/>
        </w:rPr>
      </w:pPr>
      <w:r>
        <w:rPr>
          <w:noProof/>
          <w:lang w:val="de-DE" w:eastAsia="de-DE"/>
        </w:rPr>
        <w:drawing>
          <wp:inline distT="0" distB="0" distL="0" distR="0" wp14:anchorId="0EE9F7AC" wp14:editId="40CF3DA7">
            <wp:extent cx="6188710" cy="299974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5-12-17 at 15.58.22.png"/>
                    <pic:cNvPicPr/>
                  </pic:nvPicPr>
                  <pic:blipFill>
                    <a:blip r:embed="rId87">
                      <a:extLst>
                        <a:ext uri="{28A0092B-C50C-407E-A947-70E740481C1C}">
                          <a14:useLocalDpi xmlns:a14="http://schemas.microsoft.com/office/drawing/2010/main" val="0"/>
                        </a:ext>
                      </a:extLst>
                    </a:blip>
                    <a:stretch>
                      <a:fillRect/>
                    </a:stretch>
                  </pic:blipFill>
                  <pic:spPr>
                    <a:xfrm>
                      <a:off x="0" y="0"/>
                      <a:ext cx="6188710" cy="2999740"/>
                    </a:xfrm>
                    <a:prstGeom prst="rect">
                      <a:avLst/>
                    </a:prstGeom>
                  </pic:spPr>
                </pic:pic>
              </a:graphicData>
            </a:graphic>
          </wp:inline>
        </w:drawing>
      </w:r>
    </w:p>
    <w:p w:rsidR="00E535A0" w:rsidRDefault="00C953F5">
      <w:pPr>
        <w:pStyle w:val="Beschriftung"/>
        <w:jc w:val="center"/>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w:t>
      </w:r>
      <w:r>
        <w:rPr>
          <w:noProof/>
          <w:lang w:val="en-GB"/>
        </w:rPr>
        <w:fldChar w:fldCharType="end"/>
      </w:r>
      <w:r>
        <w:rPr>
          <w:noProof/>
          <w:lang w:val="en-GB"/>
        </w:rPr>
        <w:t xml:space="preserve">. FP7 timeline, including OA status. </w:t>
      </w:r>
    </w:p>
    <w:p w:rsidR="00E535A0" w:rsidRDefault="00C953F5">
      <w:pPr>
        <w:rPr>
          <w:bCs/>
          <w:i/>
          <w:noProof/>
          <w:szCs w:val="24"/>
        </w:rPr>
      </w:pPr>
      <w:r>
        <w:rPr>
          <w:bCs/>
          <w:i/>
          <w:noProof/>
          <w:szCs w:val="24"/>
        </w:rPr>
        <w:br w:type="page"/>
      </w:r>
    </w:p>
    <w:p w:rsidR="00E535A0" w:rsidRDefault="00C953F5">
      <w:pPr>
        <w:spacing w:line="240" w:lineRule="auto"/>
        <w:jc w:val="center"/>
        <w:rPr>
          <w:bCs/>
          <w:i/>
          <w:noProof/>
          <w:szCs w:val="24"/>
        </w:rPr>
      </w:pPr>
      <w:r>
        <w:rPr>
          <w:bCs/>
          <w:i/>
          <w:noProof/>
          <w:szCs w:val="24"/>
        </w:rPr>
        <w:t xml:space="preserve">Table 2. FP7 </w:t>
      </w:r>
      <w:r>
        <w:rPr>
          <w:bCs/>
          <w:i/>
          <w:noProof/>
          <w:szCs w:val="24"/>
        </w:rPr>
        <w:t>publications by scientific area by access status.</w:t>
      </w:r>
    </w:p>
    <w:tbl>
      <w:tblPr>
        <w:tblStyle w:val="HelleSchattierung-Akzent5"/>
        <w:tblW w:w="9708" w:type="dxa"/>
        <w:tblLayout w:type="fixed"/>
        <w:tblLook w:val="04A0" w:firstRow="1" w:lastRow="0" w:firstColumn="1" w:lastColumn="0" w:noHBand="0" w:noVBand="1"/>
      </w:tblPr>
      <w:tblGrid>
        <w:gridCol w:w="1384"/>
        <w:gridCol w:w="1276"/>
        <w:gridCol w:w="1417"/>
        <w:gridCol w:w="1418"/>
        <w:gridCol w:w="1417"/>
        <w:gridCol w:w="1418"/>
        <w:gridCol w:w="1378"/>
      </w:tblGrid>
      <w:tr w:rsidR="00E535A0" w:rsidTr="00E535A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Scientific Area</w:t>
            </w:r>
          </w:p>
        </w:tc>
        <w:tc>
          <w:tcPr>
            <w:tcW w:w="1276"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heme="majorHAnsi" w:hAnsiTheme="majorHAnsi"/>
                <w:noProof/>
              </w:rPr>
            </w:pPr>
            <w:r>
              <w:rPr>
                <w:rFonts w:asciiTheme="majorHAnsi" w:hAnsiTheme="majorHAnsi"/>
                <w:noProof/>
              </w:rPr>
              <w:t>Total</w:t>
            </w:r>
          </w:p>
        </w:tc>
        <w:tc>
          <w:tcPr>
            <w:tcW w:w="1417"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heme="majorHAnsi" w:hAnsiTheme="majorHAnsi"/>
                <w:noProof/>
              </w:rPr>
            </w:pPr>
            <w:r>
              <w:rPr>
                <w:rFonts w:asciiTheme="majorHAnsi" w:hAnsiTheme="majorHAnsi"/>
                <w:noProof/>
              </w:rPr>
              <w:t>Open Access</w:t>
            </w:r>
          </w:p>
        </w:tc>
        <w:tc>
          <w:tcPr>
            <w:tcW w:w="1418"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heme="majorHAnsi" w:hAnsiTheme="majorHAnsi"/>
                <w:noProof/>
              </w:rPr>
            </w:pPr>
            <w:r>
              <w:rPr>
                <w:rFonts w:asciiTheme="majorHAnsi" w:hAnsiTheme="majorHAnsi"/>
                <w:noProof/>
              </w:rPr>
              <w:t>Closed Access</w:t>
            </w:r>
          </w:p>
        </w:tc>
        <w:tc>
          <w:tcPr>
            <w:tcW w:w="1417"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heme="majorHAnsi" w:hAnsiTheme="majorHAnsi"/>
                <w:noProof/>
              </w:rPr>
            </w:pPr>
            <w:r>
              <w:rPr>
                <w:rFonts w:asciiTheme="majorHAnsi" w:hAnsiTheme="majorHAnsi"/>
                <w:noProof/>
              </w:rPr>
              <w:t>Embargo</w:t>
            </w:r>
          </w:p>
        </w:tc>
        <w:tc>
          <w:tcPr>
            <w:tcW w:w="1418"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rFonts w:asciiTheme="majorHAnsi" w:hAnsiTheme="majorHAnsi"/>
                <w:noProof/>
              </w:rPr>
            </w:pPr>
            <w:r>
              <w:rPr>
                <w:rFonts w:asciiTheme="majorHAnsi" w:hAnsiTheme="majorHAnsi"/>
                <w:noProof/>
              </w:rPr>
              <w:t>Restricted</w:t>
            </w:r>
          </w:p>
        </w:tc>
        <w:tc>
          <w:tcPr>
            <w:tcW w:w="1378" w:type="dxa"/>
          </w:tcPr>
          <w:p w:rsidR="00E535A0" w:rsidRDefault="00C953F5">
            <w:pPr>
              <w:cnfStyle w:val="100000000000" w:firstRow="1" w:lastRow="0" w:firstColumn="0" w:lastColumn="0" w:oddVBand="0" w:evenVBand="0" w:oddHBand="0" w:evenHBand="0" w:firstRowFirstColumn="0" w:firstRowLastColumn="0" w:lastRowFirstColumn="0" w:lastRowLastColumn="0"/>
              <w:rPr>
                <w:rFonts w:asciiTheme="majorHAnsi" w:hAnsiTheme="majorHAnsi"/>
                <w:noProof/>
              </w:rPr>
            </w:pPr>
            <w:r>
              <w:rPr>
                <w:rFonts w:asciiTheme="majorHAnsi" w:hAnsiTheme="majorHAnsi"/>
                <w:noProof/>
              </w:rPr>
              <w:t>OA success rate</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COH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100%</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ENERGY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1,914</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715</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1,108</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52</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34</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37%</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ENV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7,774</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4,162</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3,219</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193</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55</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54%</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ERC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63,385</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38,565</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24,271</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466</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44</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61%</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Fission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625</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196</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401</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21</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31%</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Fusion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7</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43%</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GA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307</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127</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176</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41%</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HEALTH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21,456</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11,730</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9,395</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282</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45</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55%</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ICT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32,445</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12,854</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18,235</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1,303</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19</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40%</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INCO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107</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37</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66</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35%</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INFRA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8,803</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5,816</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2,805</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148</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26</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66%</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KBBE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6,220</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3,109</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3,005</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91</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14</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50%</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NMP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6,712</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2,112</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4,354</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219</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23</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31%</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PEOPLE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21,871</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14,767</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6,734</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303</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45</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68%</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REGIONS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24</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16</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67%</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REGPOT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1,889</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1,017</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849</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22</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54%</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SEC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840</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399</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399</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40</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48%</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SME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567</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224</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319</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22</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40%</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tcPr>
          <w:p w:rsidR="00E535A0" w:rsidRDefault="00C953F5">
            <w:pPr>
              <w:rPr>
                <w:rFonts w:asciiTheme="majorHAnsi" w:hAnsiTheme="majorHAnsi"/>
                <w:noProof/>
              </w:rPr>
            </w:pPr>
            <w:r>
              <w:rPr>
                <w:rFonts w:asciiTheme="majorHAnsi" w:hAnsiTheme="majorHAnsi"/>
                <w:noProof/>
              </w:rPr>
              <w:t>JTI</w:t>
            </w:r>
          </w:p>
        </w:tc>
        <w:tc>
          <w:tcPr>
            <w:tcW w:w="1276"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939</w:t>
            </w:r>
          </w:p>
        </w:tc>
        <w:tc>
          <w:tcPr>
            <w:tcW w:w="1417"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562</w:t>
            </w:r>
          </w:p>
        </w:tc>
        <w:tc>
          <w:tcPr>
            <w:tcW w:w="141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366</w:t>
            </w:r>
          </w:p>
        </w:tc>
        <w:tc>
          <w:tcPr>
            <w:tcW w:w="1417"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11</w:t>
            </w:r>
          </w:p>
        </w:tc>
        <w:tc>
          <w:tcPr>
            <w:tcW w:w="141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60%</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SPA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2,125</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1,433</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659</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28</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67%</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SSH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1,153</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990</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123</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31</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7</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86%</w:t>
            </w:r>
          </w:p>
        </w:tc>
      </w:tr>
      <w:tr w:rsidR="00E535A0" w:rsidTr="00E535A0">
        <w:trPr>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SiS         </w:t>
            </w:r>
          </w:p>
        </w:tc>
        <w:tc>
          <w:tcPr>
            <w:tcW w:w="1276"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205</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138</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53</w:t>
            </w:r>
          </w:p>
        </w:tc>
        <w:tc>
          <w:tcPr>
            <w:tcW w:w="1417"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11</w:t>
            </w:r>
          </w:p>
        </w:tc>
        <w:tc>
          <w:tcPr>
            <w:tcW w:w="1418"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0</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67%</w:t>
            </w:r>
          </w:p>
        </w:tc>
      </w:tr>
      <w:tr w:rsidR="00E535A0" w:rsidTr="00E535A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84" w:type="dxa"/>
            <w:hideMark/>
          </w:tcPr>
          <w:p w:rsidR="00E535A0" w:rsidRDefault="00C953F5">
            <w:pPr>
              <w:rPr>
                <w:rFonts w:asciiTheme="majorHAnsi" w:hAnsiTheme="majorHAnsi"/>
                <w:noProof/>
              </w:rPr>
            </w:pPr>
            <w:r>
              <w:rPr>
                <w:rFonts w:asciiTheme="majorHAnsi" w:hAnsiTheme="majorHAnsi"/>
                <w:noProof/>
              </w:rPr>
              <w:t xml:space="preserve"> TPT         </w:t>
            </w:r>
          </w:p>
        </w:tc>
        <w:tc>
          <w:tcPr>
            <w:tcW w:w="1276"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1,134</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438</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610</w:t>
            </w:r>
          </w:p>
        </w:tc>
        <w:tc>
          <w:tcPr>
            <w:tcW w:w="1417"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78</w:t>
            </w:r>
          </w:p>
        </w:tc>
        <w:tc>
          <w:tcPr>
            <w:tcW w:w="1418"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noProof/>
              </w:rPr>
            </w:pPr>
            <w:r>
              <w:rPr>
                <w:rFonts w:ascii="Calibri" w:eastAsia="Times New Roman" w:hAnsi="Calibri"/>
                <w:noProof/>
                <w:color w:val="000000"/>
                <w:sz w:val="22"/>
                <w:szCs w:val="22"/>
              </w:rPr>
              <w:t>4</w:t>
            </w:r>
          </w:p>
        </w:tc>
        <w:tc>
          <w:tcPr>
            <w:tcW w:w="1378" w:type="dxa"/>
          </w:tcPr>
          <w:p w:rsidR="00E535A0" w:rsidRDefault="00C953F5">
            <w:pPr>
              <w:cnfStyle w:val="000000100000" w:firstRow="0" w:lastRow="0" w:firstColumn="0" w:lastColumn="0" w:oddVBand="0" w:evenVBand="0" w:oddHBand="1"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39%</w:t>
            </w:r>
          </w:p>
        </w:tc>
      </w:tr>
      <w:tr w:rsidR="00E535A0" w:rsidTr="00E535A0">
        <w:trPr>
          <w:trHeight w:val="300"/>
        </w:trPr>
        <w:tc>
          <w:tcPr>
            <w:cnfStyle w:val="001000000000" w:firstRow="0" w:lastRow="0" w:firstColumn="1" w:lastColumn="0" w:oddVBand="0" w:evenVBand="0" w:oddHBand="0" w:evenHBand="0" w:firstRowFirstColumn="0" w:firstRowLastColumn="0" w:lastRowFirstColumn="0" w:lastRowLastColumn="0"/>
            <w:tcW w:w="1384" w:type="dxa"/>
            <w:noWrap/>
            <w:hideMark/>
          </w:tcPr>
          <w:p w:rsidR="00E535A0" w:rsidRDefault="00C953F5">
            <w:pPr>
              <w:rPr>
                <w:rFonts w:asciiTheme="majorHAnsi" w:hAnsiTheme="majorHAnsi"/>
                <w:b w:val="0"/>
                <w:noProof/>
              </w:rPr>
            </w:pPr>
            <w:r>
              <w:rPr>
                <w:rFonts w:asciiTheme="majorHAnsi" w:hAnsiTheme="majorHAnsi"/>
                <w:noProof/>
              </w:rPr>
              <w:t>Total</w:t>
            </w:r>
          </w:p>
        </w:tc>
        <w:tc>
          <w:tcPr>
            <w:tcW w:w="1276" w:type="dxa"/>
            <w:noWrap/>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rPr>
            </w:pPr>
            <w:r>
              <w:rPr>
                <w:rFonts w:ascii="Calibri" w:eastAsia="Times New Roman" w:hAnsi="Calibri" w:cs="Times New Roman"/>
                <w:b/>
                <w:noProof/>
                <w:color w:val="000000"/>
                <w:sz w:val="22"/>
                <w:szCs w:val="22"/>
              </w:rPr>
              <w:t>180,505</w:t>
            </w:r>
          </w:p>
        </w:tc>
        <w:tc>
          <w:tcPr>
            <w:tcW w:w="1417" w:type="dxa"/>
            <w:noWrap/>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99,413</w:t>
            </w:r>
          </w:p>
        </w:tc>
        <w:tc>
          <w:tcPr>
            <w:tcW w:w="1418" w:type="dxa"/>
            <w:noWrap/>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77,156</w:t>
            </w:r>
          </w:p>
        </w:tc>
        <w:tc>
          <w:tcPr>
            <w:tcW w:w="1417" w:type="dxa"/>
            <w:noWrap/>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3,330</w:t>
            </w:r>
          </w:p>
        </w:tc>
        <w:tc>
          <w:tcPr>
            <w:tcW w:w="1418" w:type="dxa"/>
            <w:noWrap/>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334</w:t>
            </w:r>
          </w:p>
        </w:tc>
        <w:tc>
          <w:tcPr>
            <w:tcW w:w="1378" w:type="dxa"/>
          </w:tcPr>
          <w:p w:rsidR="00E535A0" w:rsidRDefault="00C953F5">
            <w:pPr>
              <w:cnfStyle w:val="000000000000" w:firstRow="0" w:lastRow="0" w:firstColumn="0" w:lastColumn="0" w:oddVBand="0" w:evenVBand="0" w:oddHBand="0" w:evenHBand="0" w:firstRowFirstColumn="0" w:firstRowLastColumn="0" w:lastRowFirstColumn="0" w:lastRowLastColumn="0"/>
              <w:rPr>
                <w:rFonts w:asciiTheme="majorHAnsi" w:hAnsiTheme="majorHAnsi"/>
                <w:b/>
                <w:noProof/>
              </w:rPr>
            </w:pPr>
            <w:r>
              <w:rPr>
                <w:rFonts w:ascii="Calibri" w:eastAsia="Times New Roman" w:hAnsi="Calibri"/>
                <w:b/>
                <w:noProof/>
                <w:color w:val="000000"/>
                <w:sz w:val="22"/>
                <w:szCs w:val="22"/>
              </w:rPr>
              <w:t>55%</w:t>
            </w:r>
          </w:p>
        </w:tc>
      </w:tr>
    </w:tbl>
    <w:p w:rsidR="00E535A0" w:rsidRDefault="00E535A0">
      <w:pPr>
        <w:spacing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 Supporting open access to scientific publications published after the end of the FP7 grant </w:t>
      </w:r>
    </w:p>
    <w:p w:rsidR="00E535A0" w:rsidRDefault="00C953F5">
      <w:pPr>
        <w:tabs>
          <w:tab w:val="left" w:pos="870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current OpenAIRE data, most publications are published within the project lifetime (136.872), but an overall 13% (21.810 publications) are published after the project ended. The European Commission therefore decided to launch a dedicated separ</w:t>
      </w:r>
      <w:r>
        <w:rPr>
          <w:rFonts w:ascii="Times New Roman" w:hAnsi="Times New Roman" w:cs="Times New Roman"/>
          <w:noProof/>
          <w:sz w:val="24"/>
          <w:szCs w:val="24"/>
        </w:rPr>
        <w:t>ate pilot fund for covering gold open access charges (APCs) arising from completed FP7 projects. The fund – 4 million euros – is administered and run by OpenAIRE. It will last for a maximum of two years (i.e. until Apr 30th, 2017) or until its budget is ex</w:t>
      </w:r>
      <w:r>
        <w:rPr>
          <w:rFonts w:ascii="Times New Roman" w:hAnsi="Times New Roman" w:cs="Times New Roman"/>
          <w:noProof/>
          <w:sz w:val="24"/>
          <w:szCs w:val="24"/>
        </w:rPr>
        <w:t xml:space="preserve">hausted. Its success will be evaluated to ascertain whether further action is needed. </w:t>
      </w:r>
    </w:p>
    <w:p w:rsidR="00E535A0" w:rsidRDefault="00C953F5">
      <w:pPr>
        <w:tabs>
          <w:tab w:val="left" w:pos="870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OpenAIRE has, in consultation with the community, established the following eligibility criteria</w:t>
      </w:r>
      <w:r>
        <w:rPr>
          <w:rFonts w:ascii="Times New Roman" w:hAnsi="Times New Roman" w:cs="Times New Roman"/>
          <w:noProof/>
          <w:sz w:val="24"/>
          <w:szCs w:val="24"/>
          <w:vertAlign w:val="superscript"/>
        </w:rPr>
        <w:footnoteReference w:id="76"/>
      </w:r>
      <w:r>
        <w:rPr>
          <w:rFonts w:ascii="Times New Roman" w:hAnsi="Times New Roman" w:cs="Times New Roman"/>
          <w:noProof/>
          <w:sz w:val="24"/>
          <w:szCs w:val="24"/>
        </w:rPr>
        <w:t xml:space="preserve"> for applying to the fund: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iCs/>
          <w:noProof/>
          <w:sz w:val="24"/>
          <w:szCs w:val="24"/>
          <w:lang w:val="en-US"/>
        </w:rPr>
        <w:t xml:space="preserve">A maximum of three publications </w:t>
      </w:r>
      <w:r>
        <w:rPr>
          <w:rFonts w:ascii="Times New Roman" w:hAnsi="Times New Roman" w:cs="Times New Roman"/>
          <w:noProof/>
          <w:sz w:val="24"/>
          <w:szCs w:val="24"/>
          <w:lang w:val="en-US"/>
        </w:rPr>
        <w:t>will be fund</w:t>
      </w:r>
      <w:r>
        <w:rPr>
          <w:rFonts w:ascii="Times New Roman" w:hAnsi="Times New Roman" w:cs="Times New Roman"/>
          <w:noProof/>
          <w:sz w:val="24"/>
          <w:szCs w:val="24"/>
          <w:lang w:val="en-US"/>
        </w:rPr>
        <w:t>ed per eligible FP7 project as a means to ensure a fair distribution of the funding across projects;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Publications eligible for funding </w:t>
      </w:r>
      <w:r>
        <w:rPr>
          <w:rFonts w:ascii="Times New Roman" w:hAnsi="Times New Roman" w:cs="Times New Roman"/>
          <w:iCs/>
          <w:noProof/>
          <w:sz w:val="24"/>
          <w:szCs w:val="24"/>
        </w:rPr>
        <w:t>must be peer-reviewed</w:t>
      </w:r>
      <w:r>
        <w:rPr>
          <w:rFonts w:ascii="Times New Roman" w:hAnsi="Times New Roman" w:cs="Times New Roman"/>
          <w:noProof/>
          <w:sz w:val="24"/>
          <w:szCs w:val="24"/>
        </w:rPr>
        <w:t>;</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Funding requests must be submitted once the publication has been accepted;</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Publications submitted </w:t>
      </w:r>
      <w:r>
        <w:rPr>
          <w:rFonts w:ascii="Times New Roman" w:hAnsi="Times New Roman" w:cs="Times New Roman"/>
          <w:noProof/>
          <w:sz w:val="24"/>
          <w:szCs w:val="24"/>
          <w:lang w:val="en-US"/>
        </w:rPr>
        <w:t xml:space="preserve">to </w:t>
      </w:r>
      <w:r>
        <w:rPr>
          <w:rFonts w:ascii="Times New Roman" w:hAnsi="Times New Roman" w:cs="Times New Roman"/>
          <w:iCs/>
          <w:noProof/>
          <w:sz w:val="24"/>
          <w:szCs w:val="24"/>
          <w:lang w:val="en-US"/>
        </w:rPr>
        <w:t>hybrid journals will not be funded</w:t>
      </w:r>
      <w:r>
        <w:rPr>
          <w:rFonts w:ascii="Times New Roman" w:hAnsi="Times New Roman" w:cs="Times New Roman"/>
          <w:noProof/>
          <w:sz w:val="24"/>
          <w:szCs w:val="24"/>
          <w:lang w:val="en-US"/>
        </w:rPr>
        <w:t>, but only those accepted at fully Open Access journals;</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iCs/>
          <w:noProof/>
          <w:sz w:val="24"/>
          <w:szCs w:val="24"/>
          <w:lang w:val="en-US"/>
        </w:rPr>
        <w:t>Funding caps</w:t>
      </w:r>
      <w:r>
        <w:rPr>
          <w:rFonts w:ascii="Times New Roman" w:hAnsi="Times New Roman" w:cs="Times New Roman"/>
          <w:noProof/>
          <w:sz w:val="24"/>
          <w:szCs w:val="24"/>
          <w:lang w:val="en-US"/>
        </w:rPr>
        <w:t xml:space="preserve"> of €2,000 for research articles and €6,000 for monographs apply for this Pilot;</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The final version of the funded output </w:t>
      </w:r>
      <w:r>
        <w:rPr>
          <w:rFonts w:ascii="Times New Roman" w:hAnsi="Times New Roman" w:cs="Times New Roman"/>
          <w:iCs/>
          <w:noProof/>
          <w:sz w:val="24"/>
          <w:szCs w:val="24"/>
          <w:lang w:val="en-US"/>
        </w:rPr>
        <w:t>must be deposited</w:t>
      </w:r>
      <w:r>
        <w:rPr>
          <w:rFonts w:ascii="Times New Roman" w:hAnsi="Times New Roman" w:cs="Times New Roman"/>
          <w:noProof/>
          <w:sz w:val="24"/>
          <w:szCs w:val="24"/>
          <w:lang w:val="en-US"/>
        </w:rPr>
        <w:t xml:space="preserve"> in an OpenAI</w:t>
      </w:r>
      <w:r>
        <w:rPr>
          <w:rFonts w:ascii="Times New Roman" w:hAnsi="Times New Roman" w:cs="Times New Roman"/>
          <w:noProof/>
          <w:sz w:val="24"/>
          <w:szCs w:val="24"/>
          <w:lang w:val="en-US"/>
        </w:rPr>
        <w:t>RE-compliant Open Access repository.</w:t>
      </w:r>
    </w:p>
    <w:p w:rsidR="00E535A0" w:rsidRDefault="00C953F5">
      <w:pPr>
        <w:tabs>
          <w:tab w:val="left" w:pos="8700"/>
        </w:tabs>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The pilot started its operation on June 1, 2015. It is therefore too early for a statistically significant analysis. At the time of writing (August 2015) 20 eligible funding requests have been collected so far, 16 for j</w:t>
      </w:r>
      <w:r>
        <w:rPr>
          <w:rFonts w:ascii="Times New Roman" w:hAnsi="Times New Roman" w:cs="Times New Roman"/>
          <w:noProof/>
          <w:sz w:val="24"/>
          <w:szCs w:val="24"/>
        </w:rPr>
        <w:t>ournal articles and 4 for books. 11 requests have been approved and six publications have already been published as a result of the pilot fund.</w:t>
      </w:r>
      <w:r>
        <w:rPr>
          <w:rFonts w:ascii="Times New Roman" w:hAnsi="Times New Roman" w:cs="Times New Roman"/>
          <w:noProof/>
          <w:sz w:val="24"/>
          <w:szCs w:val="24"/>
          <w:vertAlign w:val="superscript"/>
        </w:rPr>
        <w:footnoteReference w:id="77"/>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The currently available data shows that an average of € 1356 per article was paid to the publishers in article </w:t>
      </w:r>
      <w:r>
        <w:rPr>
          <w:rFonts w:ascii="Times New Roman" w:hAnsi="Times New Roman" w:cs="Times New Roman"/>
          <w:noProof/>
          <w:sz w:val="24"/>
          <w:szCs w:val="24"/>
          <w:lang w:val="en-US"/>
        </w:rPr>
        <w:t xml:space="preserve">processing charges. </w:t>
      </w:r>
    </w:p>
    <w:p w:rsidR="00E535A0" w:rsidRDefault="00E535A0">
      <w:pPr>
        <w:tabs>
          <w:tab w:val="left" w:pos="8700"/>
        </w:tabs>
        <w:spacing w:after="240" w:line="240" w:lineRule="auto"/>
        <w:rPr>
          <w:noProof/>
          <w:szCs w:val="24"/>
          <w:lang w:val="en-US"/>
        </w:rPr>
      </w:pPr>
    </w:p>
    <w:p w:rsidR="00E535A0" w:rsidRDefault="00E535A0">
      <w:pPr>
        <w:tabs>
          <w:tab w:val="left" w:pos="8700"/>
        </w:tabs>
        <w:spacing w:line="240" w:lineRule="auto"/>
        <w:rPr>
          <w:noProof/>
          <w:szCs w:val="24"/>
          <w:lang w:val="en-US"/>
        </w:rPr>
        <w:sectPr w:rsidR="00E535A0">
          <w:headerReference w:type="even" r:id="rId88"/>
          <w:headerReference w:type="default" r:id="rId89"/>
          <w:footerReference w:type="even" r:id="rId90"/>
          <w:footerReference w:type="default" r:id="rId91"/>
          <w:headerReference w:type="first" r:id="rId92"/>
          <w:footerReference w:type="first" r:id="rId93"/>
          <w:pgSz w:w="11906" w:h="16838"/>
          <w:pgMar w:top="1701" w:right="1701" w:bottom="1701" w:left="1701" w:header="708" w:footer="708" w:gutter="0"/>
          <w:pgNumType w:start="1"/>
          <w:cols w:space="708"/>
          <w:docGrid w:linePitch="360"/>
        </w:sectPr>
      </w:pPr>
    </w:p>
    <w:p w:rsidR="00E535A0" w:rsidRDefault="00C953F5">
      <w:pPr>
        <w:pStyle w:val="berschrift1"/>
        <w:rPr>
          <w:noProof/>
        </w:rPr>
      </w:pPr>
      <w:bookmarkStart w:id="40" w:name="_Toc433998141"/>
      <w:bookmarkStart w:id="41" w:name="_Toc439752811"/>
      <w:r>
        <w:rPr>
          <w:noProof/>
        </w:rPr>
        <w:t>The recommendations from FP7 Interim evaluation and their follow up</w:t>
      </w:r>
      <w:bookmarkEnd w:id="40"/>
      <w:bookmarkEnd w:id="41"/>
    </w:p>
    <w:p w:rsidR="00E535A0" w:rsidRDefault="00E535A0">
      <w:pPr>
        <w:spacing w:line="240" w:lineRule="auto"/>
        <w:rPr>
          <w:noProof/>
          <w:szCs w:val="24"/>
        </w:rPr>
      </w:pPr>
    </w:p>
    <w:tbl>
      <w:tblPr>
        <w:tblStyle w:val="TableGrid6"/>
        <w:tblW w:w="0" w:type="auto"/>
        <w:tblLook w:val="04A0" w:firstRow="1" w:lastRow="0" w:firstColumn="1" w:lastColumn="0" w:noHBand="0" w:noVBand="1"/>
      </w:tblPr>
      <w:tblGrid>
        <w:gridCol w:w="5617"/>
        <w:gridCol w:w="8035"/>
      </w:tblGrid>
      <w:tr w:rsidR="00E535A0">
        <w:tc>
          <w:tcPr>
            <w:tcW w:w="7110" w:type="dxa"/>
          </w:tcPr>
          <w:p w:rsidR="00E535A0" w:rsidRDefault="00C953F5">
            <w:pPr>
              <w:jc w:val="both"/>
              <w:rPr>
                <w:rFonts w:ascii="Times New Roman" w:hAnsi="Times New Roman" w:cs="Times New Roman"/>
                <w:noProof/>
              </w:rPr>
            </w:pPr>
            <w:r>
              <w:rPr>
                <w:rFonts w:ascii="Times New Roman" w:hAnsi="Times New Roman" w:cs="Times New Roman"/>
                <w:noProof/>
              </w:rPr>
              <w:t>Recommendations from the Expert Group November 12, 2010</w:t>
            </w:r>
          </w:p>
        </w:tc>
        <w:tc>
          <w:tcPr>
            <w:tcW w:w="7110" w:type="dxa"/>
          </w:tcPr>
          <w:p w:rsidR="00E535A0" w:rsidRDefault="00C953F5">
            <w:pPr>
              <w:jc w:val="both"/>
              <w:rPr>
                <w:rFonts w:ascii="Times New Roman" w:hAnsi="Times New Roman" w:cs="Times New Roman"/>
                <w:noProof/>
              </w:rPr>
            </w:pPr>
            <w:r>
              <w:rPr>
                <w:rFonts w:ascii="Times New Roman" w:hAnsi="Times New Roman" w:cs="Times New Roman"/>
                <w:noProof/>
              </w:rPr>
              <w:t xml:space="preserve">a) Commission response in the </w:t>
            </w:r>
            <w:r>
              <w:rPr>
                <w:rFonts w:ascii="Times New Roman" w:hAnsi="Times New Roman" w:cs="Times New Roman"/>
                <w:noProof/>
              </w:rPr>
              <w:t>Communication in 2011</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Further measures taken since 2011</w:t>
            </w: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1.      To advance ERA and Innovation Union objectives, integrating the research base by overcoming fragmentation in research is vital, while simultaneously achieving a sharper division of labou</w:t>
            </w:r>
            <w:r>
              <w:rPr>
                <w:rFonts w:ascii="Times New Roman" w:hAnsi="Times New Roman" w:cs="Times New Roman"/>
                <w:noProof/>
              </w:rPr>
              <w:t>r between what is done at EU level and what is undertaken in national programmes. European research and innovation efforts must concentrate on themes where critical mass is vital for success and where breakthroughs require cross-border solutions, while als</w:t>
            </w:r>
            <w:r>
              <w:rPr>
                <w:rFonts w:ascii="Times New Roman" w:hAnsi="Times New Roman" w:cs="Times New Roman"/>
                <w:noProof/>
              </w:rPr>
              <w:t>o allocating sufficient resources to R&amp;D topics which promise radical innovations. Addressing the ‘Grand Challenges’ confronting the European Union should increasingly be at the heart of EU research policy, starting in the last three years of FP7, but more</w:t>
            </w:r>
            <w:r>
              <w:rPr>
                <w:rFonts w:ascii="Times New Roman" w:hAnsi="Times New Roman" w:cs="Times New Roman"/>
                <w:noProof/>
              </w:rPr>
              <w:t xml:space="preserve"> emphatically so in a successor programme. This process could be structured according to who sets the research agenda and to take account of the ‘smart, sustainable, inclusive’ leitmotif for Europe 2020, although they will need to work together to address </w:t>
            </w:r>
            <w:r>
              <w:rPr>
                <w:rFonts w:ascii="Times New Roman" w:hAnsi="Times New Roman" w:cs="Times New Roman"/>
                <w:noProof/>
              </w:rPr>
              <w:t>the ‘Grand Challenges’ as follows:</w:t>
            </w:r>
          </w:p>
          <w:p w:rsidR="00E535A0" w:rsidRDefault="00C953F5">
            <w:pPr>
              <w:jc w:val="both"/>
              <w:rPr>
                <w:rFonts w:ascii="Times New Roman" w:hAnsi="Times New Roman" w:cs="Times New Roman"/>
                <w:noProof/>
              </w:rPr>
            </w:pPr>
            <w:r>
              <w:rPr>
                <w:rFonts w:ascii="Times New Roman" w:hAnsi="Times New Roman" w:cs="Times New Roman"/>
                <w:noProof/>
              </w:rPr>
              <w:t>- Science for science - the researchers set the agenda</w:t>
            </w:r>
          </w:p>
          <w:p w:rsidR="00E535A0" w:rsidRDefault="00C953F5">
            <w:pPr>
              <w:jc w:val="both"/>
              <w:rPr>
                <w:rFonts w:ascii="Times New Roman" w:hAnsi="Times New Roman" w:cs="Times New Roman"/>
                <w:noProof/>
              </w:rPr>
            </w:pPr>
            <w:r>
              <w:rPr>
                <w:rFonts w:ascii="Times New Roman" w:hAnsi="Times New Roman" w:cs="Times New Roman"/>
                <w:noProof/>
              </w:rPr>
              <w:t>- Science for competitiveness - industry sets the agenda</w:t>
            </w:r>
          </w:p>
          <w:p w:rsidR="00E535A0" w:rsidRDefault="00C953F5">
            <w:pPr>
              <w:jc w:val="both"/>
              <w:rPr>
                <w:rFonts w:ascii="Times New Roman" w:hAnsi="Times New Roman" w:cs="Times New Roman"/>
                <w:noProof/>
              </w:rPr>
            </w:pPr>
            <w:r>
              <w:rPr>
                <w:rFonts w:ascii="Times New Roman" w:hAnsi="Times New Roman" w:cs="Times New Roman"/>
                <w:noProof/>
              </w:rPr>
              <w:t>- Science for society - civil society actors set the agenda</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a) The need to overcome research fragmentation </w:t>
            </w:r>
            <w:r>
              <w:rPr>
                <w:rFonts w:ascii="Times New Roman" w:hAnsi="Times New Roman" w:cs="Times New Roman"/>
                <w:noProof/>
              </w:rPr>
              <w:t>and build critical mass in research, both public and private, are still major issues despite the many achievements such as JTIs, ERA-NETS, article 185 activities, co-funding mechanism in the Marie Curie training activities and now first steps towards Joint</w:t>
            </w:r>
            <w:r>
              <w:rPr>
                <w:rFonts w:ascii="Times New Roman" w:hAnsi="Times New Roman" w:cs="Times New Roman"/>
                <w:noProof/>
              </w:rPr>
              <w:t xml:space="preserve"> Programming. Future EU research programmes must provide a clearer focus on the major research items for science, technological leadership and industrial competiveness and focus on the large societal challenges. In turn this will provide multiple benefits,</w:t>
            </w:r>
            <w:r>
              <w:rPr>
                <w:rFonts w:ascii="Times New Roman" w:hAnsi="Times New Roman" w:cs="Times New Roman"/>
                <w:noProof/>
              </w:rPr>
              <w:t xml:space="preserve"> including more coherent priority setting, a better capacity to leverage private sector investments, enhanced European added value and a stronger base for measuring impact. Such an approach needs to be developed within the framework of the European Researc</w:t>
            </w:r>
            <w:r>
              <w:rPr>
                <w:rFonts w:ascii="Times New Roman" w:hAnsi="Times New Roman" w:cs="Times New Roman"/>
                <w:noProof/>
              </w:rPr>
              <w:t>h Area, identifying areas of common or convergent interest, while ensuring better alignment of research capacities.</w:t>
            </w:r>
          </w:p>
          <w:p w:rsidR="00E535A0" w:rsidRDefault="00C953F5">
            <w:pPr>
              <w:jc w:val="both"/>
              <w:rPr>
                <w:rFonts w:ascii="Times New Roman" w:hAnsi="Times New Roman" w:cs="Times New Roman"/>
                <w:noProof/>
              </w:rPr>
            </w:pPr>
            <w:r>
              <w:rPr>
                <w:rFonts w:ascii="Times New Roman" w:hAnsi="Times New Roman" w:cs="Times New Roman"/>
                <w:noProof/>
              </w:rPr>
              <w:t xml:space="preserve">The Innovation Union sets out how the Europe 2020 objectives of smart, sustainable and inclusive growth can be achieved through a strategic </w:t>
            </w:r>
            <w:r>
              <w:rPr>
                <w:rFonts w:ascii="Times New Roman" w:hAnsi="Times New Roman" w:cs="Times New Roman"/>
                <w:noProof/>
              </w:rPr>
              <w:t>and integrated approach to research and innovation. The forthcoming Green Paper on a Common Strategic Framework for EU Research and Innovation funding will launch a wide public debate on the key issues to be taken into account in future programmes.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b) In </w:t>
            </w:r>
            <w:r>
              <w:rPr>
                <w:rFonts w:ascii="Times New Roman" w:hAnsi="Times New Roman" w:cs="Times New Roman"/>
                <w:noProof/>
              </w:rPr>
              <w:t>the context of FP7, the work programmes covering the last years of this programme acted as a bridge to its successor. They introduced the integration of research with innovation to tackle societal challenges by providing more support than ever before for a</w:t>
            </w:r>
            <w:r>
              <w:rPr>
                <w:rFonts w:ascii="Times New Roman" w:hAnsi="Times New Roman" w:cs="Times New Roman"/>
                <w:noProof/>
              </w:rPr>
              <w:t>ctivities that helped bridge the gap between research and the market, for example by demonstrating that new technologies have commercial potential or can work on a sufficiently large scale to be industrially viable (close-to-market activities such as pilot</w:t>
            </w:r>
            <w:r>
              <w:rPr>
                <w:rFonts w:ascii="Times New Roman" w:hAnsi="Times New Roman" w:cs="Times New Roman"/>
                <w:noProof/>
              </w:rPr>
              <w:t>ing, demonstration, standardisation and technology transfer have been proposed). This market-linked approach is also central to the European Innovation Partnerships (EIPs), set up under the Innovation Union action plan.</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Horizon 2020, the biggest ever EU R</w:t>
            </w:r>
            <w:r>
              <w:rPr>
                <w:rFonts w:ascii="Times New Roman" w:hAnsi="Times New Roman" w:cs="Times New Roman"/>
                <w:noProof/>
              </w:rPr>
              <w:t>esearch and Innovation programme with nearly €80 billion of funding available over 7 years (2014 to 2020), has been launched in December 2013. Aimed at spurring economic growth and creating jobs, it represents a radical change from the previous research fr</w:t>
            </w:r>
            <w:r>
              <w:rPr>
                <w:rFonts w:ascii="Times New Roman" w:hAnsi="Times New Roman" w:cs="Times New Roman"/>
                <w:noProof/>
              </w:rPr>
              <w:t>amework programmes, as it brought together in a single strategic framework formerly separate research and innovation programmes, introducing major reforms, like a most important increase in budget, coupling research to innovation with support at every stag</w:t>
            </w:r>
            <w:r>
              <w:rPr>
                <w:rFonts w:ascii="Times New Roman" w:hAnsi="Times New Roman" w:cs="Times New Roman"/>
                <w:noProof/>
              </w:rPr>
              <w:t>e to bring research results 'from lab to market' and a challenge-based approach through which the bulk of Horizon 2020's investment will be made in solving major societal challenges, requesting a problem-solving approach. Further to these, Horizon 2020 has</w:t>
            </w:r>
            <w:r>
              <w:rPr>
                <w:rFonts w:ascii="Times New Roman" w:hAnsi="Times New Roman" w:cs="Times New Roman"/>
                <w:noProof/>
              </w:rPr>
              <w:t xml:space="preserve"> a simple architecture, centred on three pillars, which makes it easy for participants to identify funding opportunities:</w:t>
            </w:r>
          </w:p>
          <w:p w:rsidR="00E535A0" w:rsidRDefault="00C953F5">
            <w:pPr>
              <w:jc w:val="both"/>
              <w:rPr>
                <w:rFonts w:ascii="Times New Roman" w:hAnsi="Times New Roman" w:cs="Times New Roman"/>
                <w:noProof/>
              </w:rPr>
            </w:pPr>
            <w:r>
              <w:rPr>
                <w:rFonts w:ascii="Times New Roman" w:hAnsi="Times New Roman" w:cs="Times New Roman"/>
                <w:noProof/>
              </w:rPr>
              <w:t>'Excellent Science', which aims to reinforce and boost the excellence of the EU's science base and to consolidate the European Researc</w:t>
            </w:r>
            <w:r>
              <w:rPr>
                <w:rFonts w:ascii="Times New Roman" w:hAnsi="Times New Roman" w:cs="Times New Roman"/>
                <w:noProof/>
              </w:rPr>
              <w:t>h Area in order to make the Union’s research and innovation system more competitive globally;</w:t>
            </w:r>
          </w:p>
          <w:p w:rsidR="00E535A0" w:rsidRDefault="00C953F5">
            <w:pPr>
              <w:jc w:val="both"/>
              <w:rPr>
                <w:rFonts w:ascii="Times New Roman" w:hAnsi="Times New Roman" w:cs="Times New Roman"/>
                <w:noProof/>
              </w:rPr>
            </w:pPr>
            <w:r>
              <w:rPr>
                <w:rFonts w:ascii="Times New Roman" w:hAnsi="Times New Roman" w:cs="Times New Roman"/>
                <w:noProof/>
              </w:rPr>
              <w:t xml:space="preserve"> 'Industrial Leadership', which aims to speed up the development of the technologies and innovations that will underpin tomorrow's  businesses and help innovative</w:t>
            </w:r>
            <w:r>
              <w:rPr>
                <w:rFonts w:ascii="Times New Roman" w:hAnsi="Times New Roman" w:cs="Times New Roman"/>
                <w:noProof/>
              </w:rPr>
              <w:t xml:space="preserve"> European SMEs to grow into world leading companies; and </w:t>
            </w:r>
          </w:p>
          <w:p w:rsidR="00E535A0" w:rsidRDefault="00C953F5">
            <w:pPr>
              <w:jc w:val="both"/>
              <w:rPr>
                <w:rFonts w:ascii="Times New Roman" w:hAnsi="Times New Roman" w:cs="Times New Roman"/>
                <w:noProof/>
              </w:rPr>
            </w:pPr>
            <w:r>
              <w:rPr>
                <w:rFonts w:ascii="Times New Roman" w:hAnsi="Times New Roman" w:cs="Times New Roman"/>
                <w:noProof/>
              </w:rPr>
              <w:t>'Societal Challenges', through which Horizon 2020 reflects the policy priorities of the Europe 2020 strategy and addresses major concerns shared by people in Europe - a challenge-based approach will</w:t>
            </w:r>
            <w:r>
              <w:rPr>
                <w:rFonts w:ascii="Times New Roman" w:hAnsi="Times New Roman" w:cs="Times New Roman"/>
                <w:noProof/>
              </w:rPr>
              <w:t xml:space="preserve"> bring together resources and knowledge across different fields, technologies and disciplines. The "three pillar" structure is complemented by the specific objectives 'Spreading excellence and widening participation' and 'Science with and for society'. Par</w:t>
            </w:r>
            <w:r>
              <w:rPr>
                <w:rFonts w:ascii="Times New Roman" w:hAnsi="Times New Roman" w:cs="Times New Roman"/>
                <w:noProof/>
              </w:rPr>
              <w:t xml:space="preserve">t of Horizon 2020's budget also goes towards funding the European Institute of Innovation and Technology (EIT), research activities carried out under the Euratom Treaty and research carried out by the Joint Research Centre. </w:t>
            </w:r>
          </w:p>
          <w:p w:rsidR="00E535A0" w:rsidRDefault="00C953F5">
            <w:pPr>
              <w:jc w:val="both"/>
              <w:rPr>
                <w:rFonts w:ascii="Times New Roman" w:hAnsi="Times New Roman" w:cs="Times New Roman"/>
                <w:noProof/>
              </w:rPr>
            </w:pPr>
            <w:r>
              <w:rPr>
                <w:rFonts w:ascii="Times New Roman" w:hAnsi="Times New Roman" w:cs="Times New Roman"/>
                <w:noProof/>
              </w:rPr>
              <w:t xml:space="preserve">Overall, in the implementation </w:t>
            </w:r>
            <w:r>
              <w:rPr>
                <w:rFonts w:ascii="Times New Roman" w:hAnsi="Times New Roman" w:cs="Times New Roman"/>
                <w:noProof/>
              </w:rPr>
              <w:t>of Horizon 2020, account is taken of the need to build appropriate synergies and complementarities between national and European research and innovation programmes.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The Joint Programming Process, addressing societal challenges jointly between Member State</w:t>
            </w:r>
            <w:r>
              <w:rPr>
                <w:rFonts w:ascii="Times New Roman" w:hAnsi="Times New Roman" w:cs="Times New Roman"/>
                <w:noProof/>
              </w:rPr>
              <w:t>s, was supported in the last years of FP7 by providing support to the 10 JPIs in establishing structures and developing their Strategic Research Agendas and Implementation Plans. Furthermore transnational calls implemented by JPIs have been cofunded with E</w:t>
            </w:r>
            <w:r>
              <w:rPr>
                <w:rFonts w:ascii="Times New Roman" w:hAnsi="Times New Roman" w:cs="Times New Roman"/>
                <w:noProof/>
              </w:rPr>
              <w:t>RA-NET Plus actions in two cases, paving the way to a broader support under Horizon 2020. Joint Programming and EC-co-funded Public-to-Public Partnerships (ERA-NET and Art. 185) have been redesigned in a way for H2020 which allows for more strategic cooper</w:t>
            </w:r>
            <w:r>
              <w:rPr>
                <w:rFonts w:ascii="Times New Roman" w:hAnsi="Times New Roman" w:cs="Times New Roman"/>
                <w:noProof/>
              </w:rPr>
              <w:t>ation between the national and EU level and to speed up this cooperation. Under H2020, the lessons learnt from FP7, have been put in place for ERA-NETs (ERA-NET and ERA-NET plus were merged, making it obligatory to launch a call under the new ERA-NET schem</w:t>
            </w:r>
            <w:r>
              <w:rPr>
                <w:rFonts w:ascii="Times New Roman" w:hAnsi="Times New Roman" w:cs="Times New Roman"/>
                <w:noProof/>
              </w:rPr>
              <w:t xml:space="preserve">e). Art. 185 initiatives were brought closer to the Framework Programme, meaning that these initiatives are required to apply the Rules for Participation and Dissemination of the FP (derogations are only possible where operating needs so require).   Also, </w:t>
            </w:r>
            <w:r>
              <w:rPr>
                <w:rFonts w:ascii="Times New Roman" w:hAnsi="Times New Roman" w:cs="Times New Roman"/>
                <w:noProof/>
              </w:rPr>
              <w:t>H2020 more explicitly spells out the 3 needed levels of integration for an Art. 185. Finally, alignment with the objectives of H2020 is a basic condition for an Art. 185. Under FP7, the contribution to societal challenges was not a criterion for Article 18</w:t>
            </w:r>
            <w:r>
              <w:rPr>
                <w:rFonts w:ascii="Times New Roman" w:hAnsi="Times New Roman" w:cs="Times New Roman"/>
                <w:noProof/>
              </w:rPr>
              <w:t>5 Initiatives. Joint Programming in ERA was further spurred at the start of H2020 with the introduction by the Commission of the concept of alignment in order to increase interoperability between national science systems and align national priorities towar</w:t>
            </w:r>
            <w:r>
              <w:rPr>
                <w:rFonts w:ascii="Times New Roman" w:hAnsi="Times New Roman" w:cs="Times New Roman"/>
                <w:noProof/>
              </w:rPr>
              <w:t>ds the JPI's SRA.</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The Commission committed itself in the ERA Communication of 2012 to continue stimulating P2Ps, to map activities in agreed priority areas and to support MS and funding agencies to apply joint international peer review evaluations and set</w:t>
            </w:r>
            <w:r>
              <w:rPr>
                <w:rFonts w:ascii="Times New Roman" w:hAnsi="Times New Roman" w:cs="Times New Roman"/>
                <w:noProof/>
              </w:rPr>
              <w:t>ting common funding standards. Where EC funding is not involved, the EC has very little influence on developments. Eg commitment to Joint Programming remains completely voluntary for MS. The EC is a member in the GPC (Groupe de Programmation Conjointe) set</w:t>
            </w:r>
            <w:r>
              <w:rPr>
                <w:rFonts w:ascii="Times New Roman" w:hAnsi="Times New Roman" w:cs="Times New Roman"/>
                <w:noProof/>
              </w:rPr>
              <w:t xml:space="preserve"> up by the Council. More could be done in this group (however not on EC initiative) to define minimum conditions for JPI establishment and also for elaborating strategies for future joint priority areas for societal challenges. </w:t>
            </w:r>
          </w:p>
          <w:p w:rsidR="00E535A0" w:rsidRDefault="00C953F5">
            <w:pPr>
              <w:jc w:val="both"/>
              <w:rPr>
                <w:rFonts w:ascii="Times New Roman" w:hAnsi="Times New Roman" w:cs="Times New Roman"/>
                <w:noProof/>
              </w:rPr>
            </w:pPr>
            <w:r>
              <w:rPr>
                <w:rFonts w:ascii="Times New Roman" w:hAnsi="Times New Roman" w:cs="Times New Roman"/>
                <w:noProof/>
              </w:rPr>
              <w:t>A major task only partially</w:t>
            </w:r>
            <w:r>
              <w:rPr>
                <w:rFonts w:ascii="Times New Roman" w:hAnsi="Times New Roman" w:cs="Times New Roman"/>
                <w:noProof/>
              </w:rPr>
              <w:t xml:space="preserve"> tackled at the start of H2020 is the better concentration and deployment of synergies of national, transnational and EU-programmes. A true European research policy, taking full account of Art. 13 of the H2020 regulation (Synergies with national programmes</w:t>
            </w:r>
            <w:r>
              <w:rPr>
                <w:rFonts w:ascii="Times New Roman" w:hAnsi="Times New Roman" w:cs="Times New Roman"/>
                <w:noProof/>
              </w:rPr>
              <w:t xml:space="preserve"> and joint programming), is a difficult task and being established only slowly. In the EC point of view, societal challenges should guide the process as the vehicle to facilitate alignment of MS (and the EU level) towards common goals in the ERA.</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The 2nd </w:t>
            </w:r>
            <w:r>
              <w:rPr>
                <w:rFonts w:ascii="Times New Roman" w:hAnsi="Times New Roman" w:cs="Times New Roman"/>
                <w:noProof/>
              </w:rPr>
              <w:t>ERA progress report was published in September 2014. Although considerable progress has been made, further implementation efforts are needed. It was decided by the Council in February 2014 that an ERA roadmap should be developed by mid-2015 which should se</w:t>
            </w:r>
            <w:r>
              <w:rPr>
                <w:rFonts w:ascii="Times New Roman" w:hAnsi="Times New Roman" w:cs="Times New Roman"/>
                <w:noProof/>
              </w:rPr>
              <w:t>rve the purpose of facilitating and reinforcing the efforts undertaken by the Member States.  These will have to be translated in National Action Plans before mid-2016. The Council also decided in May 2015 that ERAC will propose by the end of 2015 a set of</w:t>
            </w:r>
            <w:r>
              <w:rPr>
                <w:rFonts w:ascii="Times New Roman" w:hAnsi="Times New Roman" w:cs="Times New Roman"/>
                <w:noProof/>
              </w:rPr>
              <w:t xml:space="preserve"> core indicators and, where appropriate, qualitative methods allowing monitoring the implementation of the ERA Roadmap.</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According to the 2014 Progress Report further work is also needed on the ERA monitoring mechanism (EMM) to identify and fine tune essen</w:t>
            </w:r>
            <w:r>
              <w:rPr>
                <w:rFonts w:ascii="Times New Roman" w:hAnsi="Times New Roman" w:cs="Times New Roman"/>
                <w:noProof/>
              </w:rPr>
              <w:t>tial indicators of progress in ERA. To this end recently a study by ICF on ERA monitoring has been completed.</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The Innovation Union flagship initiative (EU2020 Strategy) was a comprehensive strategy addressing a wide range of elements that impact Europe’s </w:t>
            </w:r>
            <w:r>
              <w:rPr>
                <w:rFonts w:ascii="Times New Roman" w:hAnsi="Times New Roman" w:cs="Times New Roman"/>
                <w:noProof/>
              </w:rPr>
              <w:t>innovation eco-system. The strategy includes 34 commitments across a number of areas crucial for fostering innovation capacity in Europe. The main results are highlighted in the Staff Working Document (published in June 2014), e.g.  p90 with a summary tabl</w:t>
            </w:r>
            <w:r>
              <w:rPr>
                <w:rFonts w:ascii="Times New Roman" w:hAnsi="Times New Roman" w:cs="Times New Roman"/>
                <w:noProof/>
              </w:rPr>
              <w:t xml:space="preserve">e of progress reached until 2014 : http://ec.europa.eu/research/innovation-union/pdf/state-of-the-union/2013/state_of_the_innovation_union_report_2013.pdf#view=fit&amp;pagemode=none and Eurostat monitoring of the EU2020 indicators in research and development: </w:t>
            </w:r>
            <w:r>
              <w:rPr>
                <w:rFonts w:ascii="Times New Roman" w:hAnsi="Times New Roman" w:cs="Times New Roman"/>
                <w:noProof/>
              </w:rPr>
              <w:t xml:space="preserve">http://ec.europa.eu/eurostat/statistics-explained/index.php/Europe_2020_indicators_-_research_and_development#How_much_is_the_EU_investing_in_R.26D.3F  </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2. To develop and implement high quality research infrastructures. Research infrastructures (RIs) </w:t>
            </w:r>
            <w:r>
              <w:rPr>
                <w:rFonts w:ascii="Times New Roman" w:hAnsi="Times New Roman" w:cs="Times New Roman"/>
                <w:noProof/>
              </w:rPr>
              <w:t xml:space="preserve">are pivotal for the Knowledge Triangle, and as such are a pillar for implementing the ERA, but there needs to be coherence between what is funded by FP7 under the heading of Capacities, the ESFRI and capacity building undertaken as part of Cohesion policy </w:t>
            </w:r>
            <w:r>
              <w:rPr>
                <w:rFonts w:ascii="Times New Roman" w:hAnsi="Times New Roman" w:cs="Times New Roman"/>
                <w:noProof/>
              </w:rPr>
              <w:t>and what is being considered in the context of Joint Programming. More effort should be made to boost RIs during the latter stages of FP7, especially the Integrated Infrastructure Initiatives (I3) that have the greatest scope for added value at European le</w:t>
            </w:r>
            <w:r>
              <w:rPr>
                <w:rFonts w:ascii="Times New Roman" w:hAnsi="Times New Roman" w:cs="Times New Roman"/>
                <w:noProof/>
              </w:rPr>
              <w:t>vel. In addition there should be a focus on promoting their impact by establishing synergies between training instruments and utilisation of RIs and by stimulating industrial and third country access</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The Commission recognises that infrastructure fundin</w:t>
            </w:r>
            <w:r>
              <w:rPr>
                <w:rFonts w:ascii="Times New Roman" w:hAnsi="Times New Roman" w:cs="Times New Roman"/>
                <w:noProof/>
              </w:rPr>
              <w:t>g will be improved through better alignment of the FP, with funding from the European Investment Bank and Structural Funds. FP7 support for new research infrastructures targets the preparatory phase for projects in the ESFRI Roadmap and for some of these p</w:t>
            </w:r>
            <w:r>
              <w:rPr>
                <w:rFonts w:ascii="Times New Roman" w:hAnsi="Times New Roman" w:cs="Times New Roman"/>
                <w:noProof/>
              </w:rPr>
              <w:t>rojects possible synergies with Cohesion Policy have been worked out and information disseminated to project consortia. The Commission is confident that synergies should bring results before the end of FP7. Support for Integrating Activities (I3) will cont</w:t>
            </w:r>
            <w:r>
              <w:rPr>
                <w:rFonts w:ascii="Times New Roman" w:hAnsi="Times New Roman" w:cs="Times New Roman"/>
                <w:noProof/>
              </w:rPr>
              <w:t>inue to be provided for the last years of FP7. The reinforcement of training related to research infrastructures in the People programme is an interesting possibility to be considered. Following the Europe 2020 Strategy a work package on innovation could b</w:t>
            </w:r>
            <w:r>
              <w:rPr>
                <w:rFonts w:ascii="Times New Roman" w:hAnsi="Times New Roman" w:cs="Times New Roman"/>
                <w:noProof/>
              </w:rPr>
              <w:t>e included in all research infrastructure projects thereby favouring greater involvement of industry. The work programme 2012 will better highlight the possibility for researchers from third countries to benefit from access to European research infrastruct</w:t>
            </w:r>
            <w:r>
              <w:rPr>
                <w:rFonts w:ascii="Times New Roman" w:hAnsi="Times New Roman" w:cs="Times New Roman"/>
                <w:noProof/>
              </w:rPr>
              <w:t xml:space="preserve">ures. The development of e-Infrastructures will connect researchers, instruments, data and computation resources throughout Europe, creating a seamless "online ERA". As an integral part of the Digital Agenda flagship initiative, this work will continue in </w:t>
            </w:r>
            <w:r>
              <w:rPr>
                <w:rFonts w:ascii="Times New Roman" w:hAnsi="Times New Roman" w:cs="Times New Roman"/>
                <w:noProof/>
              </w:rPr>
              <w:t>the second half of FP7 including development of online services for computation and data-intensive research, the upgrade of the GÉANT network and further development of the PRACE supercomputing infrastructure.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The Integrated Infrastructure Initiative (</w:t>
            </w:r>
            <w:r>
              <w:rPr>
                <w:rFonts w:ascii="Times New Roman" w:hAnsi="Times New Roman" w:cs="Times New Roman"/>
                <w:noProof/>
              </w:rPr>
              <w:t>I3) was devised for the integration of existing research infrastructures as one of the key actions under FP6. In FP7 "Integrating Activities" this activity has been implemented through both bottom-up and targeted approaches to support the integration of an</w:t>
            </w:r>
            <w:r>
              <w:rPr>
                <w:rFonts w:ascii="Times New Roman" w:hAnsi="Times New Roman" w:cs="Times New Roman"/>
                <w:noProof/>
              </w:rPr>
              <w:t>d access to national research infrastructures of pan-European and regional interest, corresponding to the follow-up of the FP6 initiative.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Under FP7, each funded project was a combination of three mandatory types of activities:</w:t>
            </w:r>
          </w:p>
          <w:p w:rsidR="00E535A0" w:rsidRDefault="00C953F5">
            <w:pPr>
              <w:jc w:val="both"/>
              <w:rPr>
                <w:rFonts w:ascii="Times New Roman" w:hAnsi="Times New Roman" w:cs="Times New Roman"/>
                <w:noProof/>
              </w:rPr>
            </w:pPr>
            <w:r>
              <w:rPr>
                <w:rFonts w:ascii="Times New Roman" w:hAnsi="Times New Roman" w:cs="Times New Roman"/>
                <w:noProof/>
              </w:rPr>
              <w:t>a) Trans-national access an</w:t>
            </w:r>
            <w:r>
              <w:rPr>
                <w:rFonts w:ascii="Times New Roman" w:hAnsi="Times New Roman" w:cs="Times New Roman"/>
                <w:noProof/>
              </w:rPr>
              <w:t>d/or services Activities, to provide trans-national access of researchers or research teams to one or more infrastructures among those operated by participants, and/or to provide access to scientific services freely available through communication networks</w:t>
            </w:r>
            <w:r>
              <w:rPr>
                <w:rFonts w:ascii="Times New Roman" w:hAnsi="Times New Roman" w:cs="Times New Roman"/>
                <w:noProof/>
              </w:rPr>
              <w:t>.</w:t>
            </w:r>
          </w:p>
          <w:p w:rsidR="00E535A0" w:rsidRDefault="00C953F5">
            <w:pPr>
              <w:jc w:val="both"/>
              <w:rPr>
                <w:rFonts w:ascii="Times New Roman" w:hAnsi="Times New Roman" w:cs="Times New Roman"/>
                <w:noProof/>
              </w:rPr>
            </w:pPr>
            <w:r>
              <w:rPr>
                <w:rFonts w:ascii="Times New Roman" w:hAnsi="Times New Roman" w:cs="Times New Roman"/>
                <w:noProof/>
              </w:rPr>
              <w:t>b) Networking Activities, to foster a culture of co-operation between research infrastructures, scientific communities and other key stakeholders, and help developing a more efficient and attractive European Research Area.</w:t>
            </w:r>
          </w:p>
          <w:p w:rsidR="00E535A0" w:rsidRDefault="00C953F5">
            <w:pPr>
              <w:jc w:val="both"/>
              <w:rPr>
                <w:rFonts w:ascii="Times New Roman" w:hAnsi="Times New Roman" w:cs="Times New Roman"/>
                <w:noProof/>
              </w:rPr>
            </w:pPr>
            <w:r>
              <w:rPr>
                <w:rFonts w:ascii="Times New Roman" w:hAnsi="Times New Roman" w:cs="Times New Roman"/>
                <w:noProof/>
              </w:rPr>
              <w:t>c) Joint Research Activities, t</w:t>
            </w:r>
            <w:r>
              <w:rPr>
                <w:rFonts w:ascii="Times New Roman" w:hAnsi="Times New Roman" w:cs="Times New Roman"/>
                <w:noProof/>
              </w:rPr>
              <w:t>o improve, in quality and/or quantity, the services provided by the infrastructures.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In Horizon 2020, the aim of these "Integrating Activities" is to provide a wider and more efficient access to, and use of, the research infrastructures existing in EU Mem</w:t>
            </w:r>
            <w:r>
              <w:rPr>
                <w:rFonts w:ascii="Times New Roman" w:hAnsi="Times New Roman" w:cs="Times New Roman"/>
                <w:noProof/>
              </w:rPr>
              <w:t>ber States, Associated Countries and at international level when appropriate. Funding will be provided to support, in particular, the trans-national and virtual access activities provided to European researchers (and of researchers from Third Countries und</w:t>
            </w:r>
            <w:r>
              <w:rPr>
                <w:rFonts w:ascii="Times New Roman" w:hAnsi="Times New Roman" w:cs="Times New Roman"/>
                <w:noProof/>
              </w:rPr>
              <w:t>er certain conditions), the cooperation between research infrastructures, scientific communities, industries and other stakeholders, the improvement of the services the infrastructures provide, the harmonisation, optimisation and improvement of access proc</w:t>
            </w:r>
            <w:r>
              <w:rPr>
                <w:rFonts w:ascii="Times New Roman" w:hAnsi="Times New Roman" w:cs="Times New Roman"/>
                <w:noProof/>
              </w:rPr>
              <w:t>edures and interfaces.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Some Research Infrastructure projects under the ESFRI Roadmap have been supported by both FP/Horizon 2020 and ESIF and they illustrate concrete synergies. For instance, one example is the Extreme Light Infrastructure (ELI) project w</w:t>
            </w:r>
            <w:r>
              <w:rPr>
                <w:rFonts w:ascii="Times New Roman" w:hAnsi="Times New Roman" w:cs="Times New Roman"/>
                <w:noProof/>
              </w:rPr>
              <w:t>hich aims to create the latest laser equipment in the world as a distributed infrastructure in the Czech Republic, Hungary and Romania. Another example is the European Spallation Source (ESS) project which aims to build a powerful neutron facility of the n</w:t>
            </w:r>
            <w:r>
              <w:rPr>
                <w:rFonts w:ascii="Times New Roman" w:hAnsi="Times New Roman" w:cs="Times New Roman"/>
                <w:noProof/>
              </w:rPr>
              <w:t>ext generation in Sweden.</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3. The level of funding should, at least, be maintained. Although the straitened budgetary conditions following the severe economic crisis will mean tough choices have to be made in public spending, the competitive challenges t</w:t>
            </w:r>
            <w:r>
              <w:rPr>
                <w:rFonts w:ascii="Times New Roman" w:hAnsi="Times New Roman" w:cs="Times New Roman"/>
                <w:noProof/>
              </w:rPr>
              <w:t>hat the EU faces require sufficient investment in long-term economic development and there should be no reduction in funding for FP7 in its latter stages. There is a compelling case for continued substantial funding of research in the Eighth Framework Prog</w:t>
            </w:r>
            <w:r>
              <w:rPr>
                <w:rFonts w:ascii="Times New Roman" w:hAnsi="Times New Roman" w:cs="Times New Roman"/>
                <w:noProof/>
              </w:rPr>
              <w:t>ramme, not least as one of the key tools to achieve the Europe 2020 goals. A reasonable level of funding per year could be that reached in the last year of FP7. In relative terms, this would mean that the percentage of the total EU budget that FP7 will hav</w:t>
            </w:r>
            <w:r>
              <w:rPr>
                <w:rFonts w:ascii="Times New Roman" w:hAnsi="Times New Roman" w:cs="Times New Roman"/>
                <w:noProof/>
              </w:rPr>
              <w:t>e when it ends should be regarded as a minimum. Funding at this rate would help to overcome the problem that many individual proposals adjudged to be excellent are not funded which, coupled with the substantial effort needed to prepare a proposal, may dete</w:t>
            </w:r>
            <w:r>
              <w:rPr>
                <w:rFonts w:ascii="Times New Roman" w:hAnsi="Times New Roman" w:cs="Times New Roman"/>
                <w:noProof/>
              </w:rPr>
              <w:t>r some of the best researchers from applying.</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The Europe 2020 strategy acknowledges very clearly that research and innovation are the key engines of societal progress and economic prosperity. In order to meet the objectives of this strategy, the key ch</w:t>
            </w:r>
            <w:r>
              <w:rPr>
                <w:rFonts w:ascii="Times New Roman" w:hAnsi="Times New Roman" w:cs="Times New Roman"/>
                <w:noProof/>
              </w:rPr>
              <w:t>allenges which need to be addressed at EU level and the challenge laid down by our competitors planning huge and ambitious investments for Research, Development and Innovation (RDI), there must be a credible funding level provided to the research and innov</w:t>
            </w:r>
            <w:r>
              <w:rPr>
                <w:rFonts w:ascii="Times New Roman" w:hAnsi="Times New Roman" w:cs="Times New Roman"/>
                <w:noProof/>
              </w:rPr>
              <w:t>ation framework. As proposed in the Budget Review, a common strategic framework will ensure a more efficient use of the EU's research and innovation funding by enhancing its EU added value, making it more results oriented, and by leveraging other public an</w:t>
            </w:r>
            <w:r>
              <w:rPr>
                <w:rFonts w:ascii="Times New Roman" w:hAnsi="Times New Roman" w:cs="Times New Roman"/>
                <w:noProof/>
              </w:rPr>
              <w:t>d private sources of funding.</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b) The annual budget of FP7 steadily increased over the years, reaching a level of funding that was almost double in its last year in relation to the first one.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With total funding of €80 billion, Horizon 2020 is one of the </w:t>
            </w:r>
            <w:r>
              <w:rPr>
                <w:rFonts w:ascii="Times New Roman" w:hAnsi="Times New Roman" w:cs="Times New Roman"/>
                <w:noProof/>
              </w:rPr>
              <w:t>few areas of the EU's budget for 2014 to 2020 to see a significant increase in resources, even if it was not as high as the budget foreseen in the Commission proposals. The first wave of the calls for proposals totals €15 billion for 2014/15.</w:t>
            </w:r>
          </w:p>
          <w:p w:rsidR="00E535A0" w:rsidRDefault="00E535A0">
            <w:pPr>
              <w:jc w:val="both"/>
              <w:rPr>
                <w:rFonts w:ascii="Times New Roman" w:hAnsi="Times New Roman" w:cs="Times New Roman"/>
                <w:noProof/>
              </w:rPr>
            </w:pP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4. A well</w:t>
            </w:r>
            <w:r>
              <w:rPr>
                <w:rFonts w:ascii="Times New Roman" w:hAnsi="Times New Roman" w:cs="Times New Roman"/>
                <w:noProof/>
              </w:rPr>
              <w:t>-articulated innovation strategy needs to ensure that instruments and priorities encourage participation from a broad spectrum of small and large enterprises, universities and research and technology organisations. The research and innovation strategy also</w:t>
            </w:r>
            <w:r>
              <w:rPr>
                <w:rFonts w:ascii="Times New Roman" w:hAnsi="Times New Roman" w:cs="Times New Roman"/>
                <w:noProof/>
              </w:rPr>
              <w:t xml:space="preserve"> has to take into account the need to support European enterprises’ efforts to integrate in global innovation networks. The open, international character of the FP7 could therefore be expanded. Specific actions should be taken in the context of the evolvin</w:t>
            </w:r>
            <w:r>
              <w:rPr>
                <w:rFonts w:ascii="Times New Roman" w:hAnsi="Times New Roman" w:cs="Times New Roman"/>
                <w:noProof/>
              </w:rPr>
              <w:t>g financial crisis to channel financial support for research and innovation to areas of crucial importance for European competitiveness. An increased emphasis on monitoring progress in FP7 projects is needed if the intended impact is to be achieved. Innova</w:t>
            </w:r>
            <w:r>
              <w:rPr>
                <w:rFonts w:ascii="Times New Roman" w:hAnsi="Times New Roman" w:cs="Times New Roman"/>
                <w:noProof/>
              </w:rPr>
              <w:t>tion also requires more attention to the distinctive needs of industry, among which reductions in administrative burdens are vital.</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The Commission agrees with the recommendation which is convergent with the orientations provided in the Communication on</w:t>
            </w:r>
            <w:r>
              <w:rPr>
                <w:rFonts w:ascii="Times New Roman" w:hAnsi="Times New Roman" w:cs="Times New Roman"/>
                <w:noProof/>
              </w:rPr>
              <w:t xml:space="preserve"> Innovation Union within the context of the Europe 2020 Strategy. In recent years, the approach to align FP funding priorities with the technology needs of industry, namely through encouraging European Technology Platforms and the support to Joint Technolo</w:t>
            </w:r>
            <w:r>
              <w:rPr>
                <w:rFonts w:ascii="Times New Roman" w:hAnsi="Times New Roman" w:cs="Times New Roman"/>
                <w:noProof/>
              </w:rPr>
              <w:t>gy Initiatives and Public-Private Partnerships, have not only increased the industrial relevance of FP research but also, more fundamentally, have helped whole industry sectors to align behind shared research strategies. As set out in the Innovation Union,</w:t>
            </w:r>
            <w:r>
              <w:rPr>
                <w:rFonts w:ascii="Times New Roman" w:hAnsi="Times New Roman" w:cs="Times New Roman"/>
                <w:noProof/>
              </w:rPr>
              <w:t xml:space="preserve"> future EU programmes should strengthen this, along with stronger knowledge transfer mechanisms and the launch of European Innovation Partnerships to bridge the gap with demand-side measures (such as standard setting, procurement and regulatory frameworks)</w:t>
            </w:r>
            <w:r>
              <w:rPr>
                <w:rFonts w:ascii="Times New Roman" w:hAnsi="Times New Roman" w:cs="Times New Roman"/>
                <w:noProof/>
              </w:rPr>
              <w:t>. While Innovation Union commitments will only be fully implemented in the next generation of spending programmes, the Commission is already investing significant effort in enhancing the innovation impact of the current Framework Programme. This will be ac</w:t>
            </w:r>
            <w:r>
              <w:rPr>
                <w:rFonts w:ascii="Times New Roman" w:hAnsi="Times New Roman" w:cs="Times New Roman"/>
                <w:noProof/>
              </w:rPr>
              <w:t>hieved in the remaining FP7 work programmes, including through funding for projects which take research results closer to market (e.g. demonstration projects) and additional emphasis on innovation impacts in evaluating proposals. In addition, further fundi</w:t>
            </w:r>
            <w:r>
              <w:rPr>
                <w:rFonts w:ascii="Times New Roman" w:hAnsi="Times New Roman" w:cs="Times New Roman"/>
                <w:noProof/>
              </w:rPr>
              <w:t>ng will be provided for both SME specific projects and topics which are attractive to SMEs or organisations that are 'new comers' to FP7.</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Under the FP7 two interim evaluations took place to monitor the implementation of the Joint Technology Initiative</w:t>
            </w:r>
            <w:r>
              <w:rPr>
                <w:rFonts w:ascii="Times New Roman" w:hAnsi="Times New Roman" w:cs="Times New Roman"/>
                <w:noProof/>
              </w:rPr>
              <w:t>s Joint Undertakings (JTI JUs), highlight their first achievements and identify potential weaknesses. In particular the second interim evaluations, which were run in 2013, report on the very promising participation of industry, including SMEs, to the JTI J</w:t>
            </w:r>
            <w:r>
              <w:rPr>
                <w:rFonts w:ascii="Times New Roman" w:hAnsi="Times New Roman" w:cs="Times New Roman"/>
                <w:noProof/>
              </w:rPr>
              <w:t>Us. The evaluations also confirmed that PPPs are a successful cooperation model to address in a pre-competitive way R&amp;I challenges in specific technologies and JTI JUs are capable of creating and maintaining strong communities across industry, research org</w:t>
            </w:r>
            <w:r>
              <w:rPr>
                <w:rFonts w:ascii="Times New Roman" w:hAnsi="Times New Roman" w:cs="Times New Roman"/>
                <w:noProof/>
              </w:rPr>
              <w:t>anisations and academia. PPPs also created a critical mass of expertise to address the most complex problems and deliver high-quality scientific output. At later stage, the analysis of data on participation showed that large industry and SMEs accounted for</w:t>
            </w:r>
            <w:r>
              <w:rPr>
                <w:rFonts w:ascii="Times New Roman" w:hAnsi="Times New Roman" w:cs="Times New Roman"/>
                <w:noProof/>
              </w:rPr>
              <w:t xml:space="preserve"> about 30% of the participations each in the calls launched by the JTI JUs established under the FP7 (i.e. Clean Sky, FCH, IMI, Artemis and Eniac), which overall resulted in about 850 Grant Agreement signed.</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Under H2020, apart from excellent science and f</w:t>
            </w:r>
            <w:r>
              <w:rPr>
                <w:rFonts w:ascii="Times New Roman" w:hAnsi="Times New Roman" w:cs="Times New Roman"/>
                <w:noProof/>
              </w:rPr>
              <w:t>undamental, pre-competitive research (low TRL technologies), the full innovation cycle from research to retail is covered through calls for demonstration actions (more mature technologies, higher TRL levels),  pilot and market replication projects, industr</w:t>
            </w:r>
            <w:r>
              <w:rPr>
                <w:rFonts w:ascii="Times New Roman" w:hAnsi="Times New Roman" w:cs="Times New Roman"/>
                <w:noProof/>
              </w:rPr>
              <w:t>ial scaling. Strategic investment decisions in key technologies underpin innovation across existing and emerging sectors through investment in Future Emerging Technologies, and Key Enabling Technologies, as well as investing in the Joint Technology Initiat</w:t>
            </w:r>
            <w:r>
              <w:rPr>
                <w:rFonts w:ascii="Times New Roman" w:hAnsi="Times New Roman" w:cs="Times New Roman"/>
                <w:noProof/>
              </w:rPr>
              <w:t>ives (public-private partnerships) in key industrial areas and through the European Institute of Technology (EIT) funding Knowledge and Innovation Communities that cover the ‘knowledge triangle’ (i.e. industry, research and education) to tackle some of the</w:t>
            </w:r>
            <w:r>
              <w:rPr>
                <w:rFonts w:ascii="Times New Roman" w:hAnsi="Times New Roman" w:cs="Times New Roman"/>
                <w:noProof/>
              </w:rPr>
              <w:t xml:space="preserve"> EU’s toughest challenges. Specific measures are taken to coordinate national funding and collective agenda-setting between specific Member States and between public and private actors (e.g. Article 185 initiatives, ERA-NETs, public procurement of innovati</w:t>
            </w:r>
            <w:r>
              <w:rPr>
                <w:rFonts w:ascii="Times New Roman" w:hAnsi="Times New Roman" w:cs="Times New Roman"/>
                <w:noProof/>
              </w:rPr>
              <w:t xml:space="preserve">ve products and services) to provide additional leverage for funding research and innovation activities. </w:t>
            </w:r>
          </w:p>
          <w:p w:rsidR="00E535A0" w:rsidRDefault="00C953F5">
            <w:pPr>
              <w:jc w:val="both"/>
              <w:rPr>
                <w:rFonts w:ascii="Times New Roman" w:hAnsi="Times New Roman" w:cs="Times New Roman"/>
                <w:noProof/>
              </w:rPr>
            </w:pPr>
            <w:r>
              <w:rPr>
                <w:rFonts w:ascii="Times New Roman" w:hAnsi="Times New Roman" w:cs="Times New Roman"/>
                <w:noProof/>
              </w:rPr>
              <w:t>Furthermore, Horizon 2020 funds high-potential innovation through a dedicated SME instrument, supporting high-potential SMEs in developing ground-brea</w:t>
            </w:r>
            <w:r>
              <w:rPr>
                <w:rFonts w:ascii="Times New Roman" w:hAnsi="Times New Roman" w:cs="Times New Roman"/>
                <w:noProof/>
              </w:rPr>
              <w:t>king ideas for products, services or processes that are ready to face global market competition.</w:t>
            </w:r>
          </w:p>
          <w:p w:rsidR="00E535A0" w:rsidRDefault="00C953F5">
            <w:pPr>
              <w:jc w:val="both"/>
              <w:rPr>
                <w:rFonts w:ascii="Times New Roman" w:hAnsi="Times New Roman" w:cs="Times New Roman"/>
                <w:noProof/>
              </w:rPr>
            </w:pPr>
            <w:r>
              <w:rPr>
                <w:rFonts w:ascii="Times New Roman" w:hAnsi="Times New Roman" w:cs="Times New Roman"/>
                <w:noProof/>
              </w:rPr>
              <w:t>Funded research under H2020 takes a problem-solving approach focussing on grand (societal) challenges that know no national borders, and encourages and support</w:t>
            </w:r>
            <w:r>
              <w:rPr>
                <w:rFonts w:ascii="Times New Roman" w:hAnsi="Times New Roman" w:cs="Times New Roman"/>
                <w:noProof/>
              </w:rPr>
              <w:t>s all types of innovation (e.g. service, product, process, social, business, organizational, etc.). European Innovation Partnerships bring together all relevant actors at EU, national and regional levels and focus on societal benefits and a rapid moderniza</w:t>
            </w:r>
            <w:r>
              <w:rPr>
                <w:rFonts w:ascii="Times New Roman" w:hAnsi="Times New Roman" w:cs="Times New Roman"/>
                <w:noProof/>
              </w:rPr>
              <w:t>tion of the associated sectors and markets in order to achieve targets quicker and more efficiently in addressing societal challenges e.g. in the area of health, urban development, agriculture, water and materials shortage.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By the end of 2013, 127 RSFF op</w:t>
            </w:r>
            <w:r>
              <w:rPr>
                <w:rFonts w:ascii="Times New Roman" w:hAnsi="Times New Roman" w:cs="Times New Roman"/>
                <w:noProof/>
              </w:rPr>
              <w:t>erations had been approved by the EIB, with a total loan volume of €16.2 billion, and the Bank had signed loan agreements with 114 R&amp;I promoters, with a total loan volume (active loans) of €11.31 billion. The sector diversification was broad, and the instr</w:t>
            </w:r>
            <w:r>
              <w:rPr>
                <w:rFonts w:ascii="Times New Roman" w:hAnsi="Times New Roman" w:cs="Times New Roman"/>
                <w:noProof/>
              </w:rPr>
              <w:t>ument had been implemented in 25 countries. Also by the end of 2013, RSI, the pilot loan guarantee instrument, had been implemented in 14 countries via 23 banks and other financial intermediaries for a total guarantee amount of €1.21 bn, underpinning a tot</w:t>
            </w:r>
            <w:r>
              <w:rPr>
                <w:rFonts w:ascii="Times New Roman" w:hAnsi="Times New Roman" w:cs="Times New Roman"/>
                <w:noProof/>
              </w:rPr>
              <w:t>al loan volume of €2.4 bn. The number of final beneficiaries will continue to increase, under the terms of the pilot facility, until the end of 2016. The figures as of January 2015 show loans of around €1.06 billion to some 1800 companies employing about 1</w:t>
            </w:r>
            <w:r>
              <w:rPr>
                <w:rFonts w:ascii="Times New Roman" w:hAnsi="Times New Roman" w:cs="Times New Roman"/>
                <w:noProof/>
              </w:rPr>
              <w:t>16 000 people. The RSFF and RSSI reached and easily exceeded almost all their operational and intermediate objectives, while three evaluative assessments showed that RSFF (RSI was not within their scope) is well on its way to realising longer-term objectiv</w:t>
            </w:r>
            <w:r>
              <w:rPr>
                <w:rFonts w:ascii="Times New Roman" w:hAnsi="Times New Roman" w:cs="Times New Roman"/>
                <w:noProof/>
              </w:rPr>
              <w:t>es and wider achievements. These assessments (two interim evaluations and a special report by the Court of Auditors), coupled with an ex ante evaluation of potential financial instruments under H2020, formed the basis for the design and launch in 2014/2015</w:t>
            </w:r>
            <w:r>
              <w:rPr>
                <w:rFonts w:ascii="Times New Roman" w:hAnsi="Times New Roman" w:cs="Times New Roman"/>
                <w:noProof/>
              </w:rPr>
              <w:t xml:space="preserve"> of a new generation of 'InnovFin' financial instruments targeting a wide range of firms and other entities: large firms, midcaps, SMEs, universities and research institutes, public-private partnerships, and special-purpose vehicles or projects. InnovFin o</w:t>
            </w:r>
            <w:r>
              <w:rPr>
                <w:rFonts w:ascii="Times New Roman" w:hAnsi="Times New Roman" w:cs="Times New Roman"/>
                <w:noProof/>
              </w:rPr>
              <w:t>ffers access to loans, guarantees, counter-guarantees and hybrid, mezzanine and equity finance.</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5. Simplification needs a quantum leap, and the Expert Group calls for all Directorates-General and agencies rapidly to implement the short-term simplificati</w:t>
            </w:r>
            <w:r>
              <w:rPr>
                <w:rFonts w:ascii="Times New Roman" w:hAnsi="Times New Roman" w:cs="Times New Roman"/>
                <w:noProof/>
              </w:rPr>
              <w:t>on measures recently put forward in a Communication by the Commission and to ensure that they are applied rigorously from 2011-2013. Coherence of procedures and approaches between Commission Directorates General and the Executive Agencies responsible for a</w:t>
            </w:r>
            <w:r>
              <w:rPr>
                <w:rFonts w:ascii="Times New Roman" w:hAnsi="Times New Roman" w:cs="Times New Roman"/>
                <w:noProof/>
              </w:rPr>
              <w:t xml:space="preserve">dministering FP7 is of crucial importance. The Expert Group proposes that the Commission consider the upcoming revision of the Financial Regulations as an opportunity to create more flexible conditions for research in subsequent FPs. In addition the Group </w:t>
            </w:r>
            <w:r>
              <w:rPr>
                <w:rFonts w:ascii="Times New Roman" w:hAnsi="Times New Roman" w:cs="Times New Roman"/>
                <w:noProof/>
              </w:rPr>
              <w:t>pleads for the Commission to switch from its present low-risk/low-trust attitude to a more trust-based and risk-tolerant approach.</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The Commission has acknowledged the need for further simplification. The Commission Communication (COM(2010)187) on simpl</w:t>
            </w:r>
            <w:r>
              <w:rPr>
                <w:rFonts w:ascii="Times New Roman" w:hAnsi="Times New Roman" w:cs="Times New Roman"/>
                <w:noProof/>
              </w:rPr>
              <w:t>ifying the implementation of the FPs, presenting a set of short term and longer term options, has triggered an intensive inter-institutional debate. While there is also a strong plea for stability and continuity as regards the applicable rules for FP7, a b</w:t>
            </w:r>
            <w:r>
              <w:rPr>
                <w:rFonts w:ascii="Times New Roman" w:hAnsi="Times New Roman" w:cs="Times New Roman"/>
                <w:noProof/>
              </w:rPr>
              <w:t>road consensus emerges that fast progress should be made on three potential wins already on FP7:</w:t>
            </w:r>
          </w:p>
          <w:p w:rsidR="00E535A0" w:rsidRDefault="00C953F5">
            <w:pPr>
              <w:jc w:val="both"/>
              <w:rPr>
                <w:rFonts w:ascii="Times New Roman" w:hAnsi="Times New Roman" w:cs="Times New Roman"/>
                <w:noProof/>
              </w:rPr>
            </w:pPr>
            <w:r>
              <w:rPr>
                <w:rFonts w:ascii="Times New Roman" w:hAnsi="Times New Roman" w:cs="Times New Roman"/>
                <w:noProof/>
              </w:rPr>
              <w:t>A re-definition of the criteria for the acceptance of average personnel cost methodologies, removing the criteria for acceptable deviations between average cos</w:t>
            </w:r>
            <w:r>
              <w:rPr>
                <w:rFonts w:ascii="Times New Roman" w:hAnsi="Times New Roman" w:cs="Times New Roman"/>
                <w:noProof/>
              </w:rPr>
              <w:t>ts in a personnel category and the actual costs related to the individual persons working in the projects. This would allow for the acceptability of majority of average personnel cost methodology actually applied as usual accounting practice by beneficiari</w:t>
            </w:r>
            <w:r>
              <w:rPr>
                <w:rFonts w:ascii="Times New Roman" w:hAnsi="Times New Roman" w:cs="Times New Roman"/>
                <w:noProof/>
              </w:rPr>
              <w:t>es, in particular in industry, including the cost-centre based methods;</w:t>
            </w:r>
          </w:p>
          <w:p w:rsidR="00E535A0" w:rsidRDefault="00C953F5">
            <w:pPr>
              <w:jc w:val="both"/>
              <w:rPr>
                <w:rFonts w:ascii="Times New Roman" w:hAnsi="Times New Roman" w:cs="Times New Roman"/>
                <w:noProof/>
              </w:rPr>
            </w:pPr>
            <w:r>
              <w:rPr>
                <w:rFonts w:ascii="Times New Roman" w:hAnsi="Times New Roman" w:cs="Times New Roman"/>
                <w:noProof/>
              </w:rPr>
              <w:t xml:space="preserve">Provision of a possibility for owners of SMEs and natural persons not receiving a salary registered in the accounts to reimburse the value of their work brought into FP7 projects by </w:t>
            </w:r>
            <w:r>
              <w:rPr>
                <w:rFonts w:ascii="Times New Roman" w:hAnsi="Times New Roman" w:cs="Times New Roman"/>
                <w:noProof/>
              </w:rPr>
              <w:t>way of a flat rate based on the allowances for Marie Curie fellowships in the People specific programme;</w:t>
            </w:r>
          </w:p>
          <w:p w:rsidR="00E535A0" w:rsidRDefault="00C953F5">
            <w:pPr>
              <w:jc w:val="both"/>
              <w:rPr>
                <w:rFonts w:ascii="Times New Roman" w:hAnsi="Times New Roman" w:cs="Times New Roman"/>
                <w:noProof/>
              </w:rPr>
            </w:pPr>
            <w:r>
              <w:rPr>
                <w:rFonts w:ascii="Times New Roman" w:hAnsi="Times New Roman" w:cs="Times New Roman"/>
                <w:noProof/>
              </w:rPr>
              <w:t>Establishment of a clearing committee between the Directorates-General in the Commission implementing the research framework programmes, in order to ac</w:t>
            </w:r>
            <w:r>
              <w:rPr>
                <w:rFonts w:ascii="Times New Roman" w:hAnsi="Times New Roman" w:cs="Times New Roman"/>
                <w:noProof/>
              </w:rPr>
              <w:t>hieve a uniform interpretation and application of the rules and procedures for implementing research grants;</w:t>
            </w:r>
          </w:p>
          <w:p w:rsidR="00E535A0" w:rsidRDefault="00C953F5">
            <w:pPr>
              <w:jc w:val="both"/>
              <w:rPr>
                <w:rFonts w:ascii="Times New Roman" w:hAnsi="Times New Roman" w:cs="Times New Roman"/>
                <w:noProof/>
              </w:rPr>
            </w:pPr>
            <w:r>
              <w:rPr>
                <w:rFonts w:ascii="Times New Roman" w:hAnsi="Times New Roman" w:cs="Times New Roman"/>
                <w:noProof/>
              </w:rPr>
              <w:t>The Commission has on 24 January 2011 adopted the required implementing decisions to set the above simplification measures in operation without fur</w:t>
            </w:r>
            <w:r>
              <w:rPr>
                <w:rFonts w:ascii="Times New Roman" w:hAnsi="Times New Roman" w:cs="Times New Roman"/>
                <w:noProof/>
              </w:rPr>
              <w:t>ther delay and with retroactive effect for ongoing FP7 grants. The issue of interest on pre-financing is addressed in the Commission proposal COM(2010)815 for the revision of the Financial Regulation. The revision of the Financial Regulation, as proposed b</w:t>
            </w:r>
            <w:r>
              <w:rPr>
                <w:rFonts w:ascii="Times New Roman" w:hAnsi="Times New Roman" w:cs="Times New Roman"/>
                <w:noProof/>
              </w:rPr>
              <w:t>y the Commission, is also essential for achieving more radical simplification ('quantum leap') in the next research and innovation funding programmes.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The revised Financial Regulation was adopted, comprising the simplifications proposed by the R&amp;I DGs:</w:t>
            </w:r>
            <w:r>
              <w:rPr>
                <w:rFonts w:ascii="Times New Roman" w:hAnsi="Times New Roman" w:cs="Times New Roman"/>
                <w:noProof/>
              </w:rPr>
              <w:t xml:space="preserve"> abandoning the obligation to report interest on pre-financing; eligibility of non-recoverable VAT.</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Major simplification ("quantum leap") was introduced with the basic legal acts of H2020, in particular via the complete overhaul of the cost reimbursement </w:t>
            </w:r>
            <w:r>
              <w:rPr>
                <w:rFonts w:ascii="Times New Roman" w:hAnsi="Times New Roman" w:cs="Times New Roman"/>
                <w:noProof/>
              </w:rPr>
              <w:t>approach:</w:t>
            </w:r>
          </w:p>
          <w:p w:rsidR="00E535A0" w:rsidRDefault="00C953F5">
            <w:pPr>
              <w:jc w:val="both"/>
              <w:rPr>
                <w:rFonts w:ascii="Times New Roman" w:hAnsi="Times New Roman" w:cs="Times New Roman"/>
                <w:noProof/>
              </w:rPr>
            </w:pPr>
            <w:r>
              <w:rPr>
                <w:rFonts w:ascii="Times New Roman" w:hAnsi="Times New Roman" w:cs="Times New Roman"/>
                <w:noProof/>
              </w:rPr>
              <w:t>- the principle of "One project - one funding rate", replacing the complex matrix of funding rates by organisation categories and types of activities</w:t>
            </w:r>
          </w:p>
          <w:p w:rsidR="00E535A0" w:rsidRDefault="00C953F5">
            <w:pPr>
              <w:jc w:val="both"/>
              <w:rPr>
                <w:rFonts w:ascii="Times New Roman" w:hAnsi="Times New Roman" w:cs="Times New Roman"/>
                <w:noProof/>
              </w:rPr>
            </w:pPr>
            <w:r>
              <w:rPr>
                <w:rFonts w:ascii="Times New Roman" w:hAnsi="Times New Roman" w:cs="Times New Roman"/>
                <w:noProof/>
              </w:rPr>
              <w:t>- the replacement of the 4 methods for charging indirect costs by a single flat rate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Moreover, </w:t>
            </w:r>
            <w:r>
              <w:rPr>
                <w:rFonts w:ascii="Times New Roman" w:hAnsi="Times New Roman" w:cs="Times New Roman"/>
                <w:noProof/>
              </w:rPr>
              <w:t>the administrative burden is reduced by a lower number of ex-ante financial capacity checks and certificates on financial statements. Administrative rationalisation is achieved by a fully electronic grant management process through the Participant Portal a</w:t>
            </w:r>
            <w:r>
              <w:rPr>
                <w:rFonts w:ascii="Times New Roman" w:hAnsi="Times New Roman" w:cs="Times New Roman"/>
                <w:noProof/>
              </w:rPr>
              <w:t>s the one-stop shop for all interactions with applicants and beneficiaries. Ex-post audit is rationalised via the creation of a single audit service and the reduction of the period for ex-post audits from 5 to 2 years after project closure.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As an example,</w:t>
            </w:r>
            <w:r>
              <w:rPr>
                <w:rFonts w:ascii="Times New Roman" w:hAnsi="Times New Roman" w:cs="Times New Roman"/>
                <w:noProof/>
              </w:rPr>
              <w:t xml:space="preserve"> the MCA under Horizon 2020 were better streamlined – four main actions instead of big number of different actions.</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6.   The mix of funding measures in FP7 and successor programmes should strike a different balance between bottom-up and top-down approac</w:t>
            </w:r>
            <w:r>
              <w:rPr>
                <w:rFonts w:ascii="Times New Roman" w:hAnsi="Times New Roman" w:cs="Times New Roman"/>
                <w:noProof/>
              </w:rPr>
              <w:t xml:space="preserve">hes to research, with greater emphasis in the specific programme Cooperation during 2011-2013 on more open calls. It is also important to ensure that education does not become the forgotten side of the Knowledge Triangle and thus that the linkages between </w:t>
            </w:r>
            <w:r>
              <w:rPr>
                <w:rFonts w:ascii="Times New Roman" w:hAnsi="Times New Roman" w:cs="Times New Roman"/>
                <w:noProof/>
              </w:rPr>
              <w:t>research and innovation are adequately complemented by research training.</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Significant parts of FP7 already provide bottom-up approaches to research. These include the Marie Curie Actions (MCA) for researcher training and mobility and the European Resea</w:t>
            </w:r>
            <w:r>
              <w:rPr>
                <w:rFonts w:ascii="Times New Roman" w:hAnsi="Times New Roman" w:cs="Times New Roman"/>
                <w:noProof/>
              </w:rPr>
              <w:t>rch Council (ERC) for curiosity-driven research. Also noteworthy is the Future and Emerging Technology (FET) scheme which, through top-down thematic calls combined with bottom-up open calls is supporting multidisciplinary exploratory research in ICT. The m</w:t>
            </w:r>
            <w:r>
              <w:rPr>
                <w:rFonts w:ascii="Times New Roman" w:hAnsi="Times New Roman" w:cs="Times New Roman"/>
                <w:noProof/>
              </w:rPr>
              <w:t xml:space="preserve">ove towards more bottom-up funding is set to continue, with the Commission proposal for further open, challenge-driven calls for proposals in the final years of FP7. Beyond this, the Innovation Union has committed to strengthen the role of the ERC and the </w:t>
            </w:r>
            <w:r>
              <w:rPr>
                <w:rFonts w:ascii="Times New Roman" w:hAnsi="Times New Roman" w:cs="Times New Roman"/>
                <w:noProof/>
              </w:rPr>
              <w:t>issue of bottom-up versus top-down approaches will feature strongly in the orientation debate on the next FP. What is most important for the FP as a whole however is to ensure a proper balance between bottom-up and top-down approaches. Further to the comme</w:t>
            </w:r>
            <w:r>
              <w:rPr>
                <w:rFonts w:ascii="Times New Roman" w:hAnsi="Times New Roman" w:cs="Times New Roman"/>
                <w:noProof/>
              </w:rPr>
              <w:t>nts concerning future activity strongly focused on major challenges, it is important to remember that this will only succeed if it allows creativity and ingenuity to flourish at the projects' and researchers' levels. The Commission reaffirms its support fo</w:t>
            </w:r>
            <w:r>
              <w:rPr>
                <w:rFonts w:ascii="Times New Roman" w:hAnsi="Times New Roman" w:cs="Times New Roman"/>
                <w:noProof/>
              </w:rPr>
              <w:t>r the knowledge triangle concept and points to the ongoing work under the European Institute of Technology as also providing a major boost for the education component. Also, important will be the 'university-industry' forum and the 'knowledge alliances' an</w:t>
            </w:r>
            <w:r>
              <w:rPr>
                <w:rFonts w:ascii="Times New Roman" w:hAnsi="Times New Roman" w:cs="Times New Roman"/>
                <w:noProof/>
              </w:rPr>
              <w:t>nounced in the Innovation Union Communication, as well as the development of appropriate skills for researchers to innovate as provided by the MCA.</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Horizon 2020 continues with the bottom-up schemes known under FP7, such as the Marie Skłodowska-Curie ac</w:t>
            </w:r>
            <w:r>
              <w:rPr>
                <w:rFonts w:ascii="Times New Roman" w:hAnsi="Times New Roman" w:cs="Times New Roman"/>
                <w:noProof/>
              </w:rPr>
              <w:t>tions (MSCA), the European Research Council activities (ERC) and the Future and Emerging Technologies (FET). New schemes were added to them under the specific objective 'Leadership in enabling and industrial technologies' and under the priority 'Societal c</w:t>
            </w:r>
            <w:r>
              <w:rPr>
                <w:rFonts w:ascii="Times New Roman" w:hAnsi="Times New Roman" w:cs="Times New Roman"/>
                <w:noProof/>
              </w:rPr>
              <w:t>hallenges', such as the SME instrument that provides staged and seamless support covering the whole innovation cycle to innovative SMEs showing a strong ambition to develop, grow and internationalise and the Fast Track to Innovation Pilot (FTI) that aims t</w:t>
            </w:r>
            <w:r>
              <w:rPr>
                <w:rFonts w:ascii="Times New Roman" w:hAnsi="Times New Roman" w:cs="Times New Roman"/>
                <w:noProof/>
              </w:rPr>
              <w:t>o attract newcomers and supports innovation actions on the basis of a continuously open call. In a way that transcends bottom-up and top down schemes, a novel strategic programming approach in the preparation of the biennial work programmes under Horizon 2</w:t>
            </w:r>
            <w:r>
              <w:rPr>
                <w:rFonts w:ascii="Times New Roman" w:hAnsi="Times New Roman" w:cs="Times New Roman"/>
                <w:noProof/>
              </w:rPr>
              <w:t>020 ensures focus on areas where EU-level action has greatest impact, with a coherent set of actions from research to innovation and less prescriptive calls with fewer and broader topics to encourage new ideas, with more emphasis on impact and greater inte</w:t>
            </w:r>
            <w:r>
              <w:rPr>
                <w:rFonts w:ascii="Times New Roman" w:hAnsi="Times New Roman" w:cs="Times New Roman"/>
                <w:noProof/>
              </w:rPr>
              <w:t>rdisciplinarity.</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7.   A moratorium on new instruments should be considered until the existing ones have been sufficiently developed and adequately evaluated, and care should be taken to avoid a confusing proliferation of instruments.</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a) The remainder </w:t>
            </w:r>
            <w:r>
              <w:rPr>
                <w:rFonts w:ascii="Times New Roman" w:hAnsi="Times New Roman" w:cs="Times New Roman"/>
                <w:noProof/>
              </w:rPr>
              <w:t>of FP7 will continue to work with the current legal base and the existing set of instruments. However, the Commission will examine the current portfolio of instruments to identify areas for simplification, possible redundancy and potential gaps. Novel appr</w:t>
            </w:r>
            <w:r>
              <w:rPr>
                <w:rFonts w:ascii="Times New Roman" w:hAnsi="Times New Roman" w:cs="Times New Roman"/>
                <w:noProof/>
              </w:rPr>
              <w:t>oaches such as prizes or innovative procurement schemes should also be considered. This work will be supported in a number of ways including discussions within the European Research Area Committee (ERAC) and the forthcoming 'Communication on Partnerships'.</w:t>
            </w:r>
            <w:r>
              <w:rPr>
                <w:rFonts w:ascii="Times New Roman" w:hAnsi="Times New Roman" w:cs="Times New Roman"/>
                <w:noProof/>
              </w:rPr>
              <w:t xml:space="preserve"> The resulting ideas will be reflected in the Commission's proposals for the next FP. Making the best possible use of the EU budget will require gearing funding towards more European added value, stronger impact and enhanced leveraging. A common strategic </w:t>
            </w:r>
            <w:r>
              <w:rPr>
                <w:rFonts w:ascii="Times New Roman" w:hAnsi="Times New Roman" w:cs="Times New Roman"/>
                <w:noProof/>
              </w:rPr>
              <w:t>framework as mentioned earlier will aim to ensure that all EU research and innovation funding works towards common goals and according to a shared strategy. This will in itself necessitate a development of a coherent and streamlined portfolio of instrument</w:t>
            </w:r>
            <w:r>
              <w:rPr>
                <w:rFonts w:ascii="Times New Roman" w:hAnsi="Times New Roman" w:cs="Times New Roman"/>
                <w:noProof/>
              </w:rPr>
              <w:t>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Radical simplification is one of the major features of Horizon 2020, the main aim being to make the programme more attractive to the best researchers and most innovative companies and to minimise financial errors. Simplification is fully reflected i</w:t>
            </w:r>
            <w:r>
              <w:rPr>
                <w:rFonts w:ascii="Times New Roman" w:hAnsi="Times New Roman" w:cs="Times New Roman"/>
                <w:noProof/>
              </w:rPr>
              <w:t>n its design, rules, financial management and implementation. Horizon 2020 aim to attract the strong participation of universities, research centres, industry and specifically SMEs and is open to new participants, as it brings together the full range of re</w:t>
            </w:r>
            <w:r>
              <w:rPr>
                <w:rFonts w:ascii="Times New Roman" w:hAnsi="Times New Roman" w:cs="Times New Roman"/>
                <w:noProof/>
              </w:rPr>
              <w:t>search and innovation support in one common strategic framework, including a streamlined set of forms of support, and uses rules for participation with principles applicable to all actions under Horizon 2020.</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Horizon 2020 supports actions through one or s</w:t>
            </w:r>
            <w:r>
              <w:rPr>
                <w:rFonts w:ascii="Times New Roman" w:hAnsi="Times New Roman" w:cs="Times New Roman"/>
                <w:noProof/>
              </w:rPr>
              <w:t>everal of the forms of funding provided for by the Financial Regulation (EU, Euratom) No 966/2012, in particular grants, prizes, procurement and financial instruments, without adding any unnecessary variations of them.</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8. Further steps to increase femal</w:t>
            </w:r>
            <w:r>
              <w:rPr>
                <w:rFonts w:ascii="Times New Roman" w:hAnsi="Times New Roman" w:cs="Times New Roman"/>
                <w:noProof/>
              </w:rPr>
              <w:t>e participation in FP7 should be taken in its remaining years, in particular:</w:t>
            </w:r>
          </w:p>
          <w:p w:rsidR="00E535A0" w:rsidRDefault="00C953F5">
            <w:pPr>
              <w:jc w:val="both"/>
              <w:rPr>
                <w:rFonts w:ascii="Times New Roman" w:hAnsi="Times New Roman" w:cs="Times New Roman"/>
                <w:noProof/>
              </w:rPr>
            </w:pPr>
            <w:r>
              <w:rPr>
                <w:rFonts w:ascii="Times New Roman" w:hAnsi="Times New Roman" w:cs="Times New Roman"/>
                <w:noProof/>
              </w:rPr>
              <w:t>- Measures to boost female participation should be reinforced throughout project life-cycles, paying particular attention to overcoming gender-specific obstacles which women face</w:t>
            </w:r>
            <w:r>
              <w:rPr>
                <w:rFonts w:ascii="Times New Roman" w:hAnsi="Times New Roman" w:cs="Times New Roman"/>
                <w:noProof/>
              </w:rPr>
              <w:t>.</w:t>
            </w:r>
          </w:p>
          <w:p w:rsidR="00E535A0" w:rsidRDefault="00C953F5">
            <w:pPr>
              <w:jc w:val="both"/>
              <w:rPr>
                <w:rFonts w:ascii="Times New Roman" w:hAnsi="Times New Roman" w:cs="Times New Roman"/>
                <w:noProof/>
              </w:rPr>
            </w:pPr>
            <w:r>
              <w:rPr>
                <w:rFonts w:ascii="Times New Roman" w:hAnsi="Times New Roman" w:cs="Times New Roman"/>
                <w:noProof/>
              </w:rPr>
              <w:t>- The Commission should reinvigorate its approach to promoting female scientists and should aim to galvanise Member States to address gender gaps, especially where female researchers face specific obstacles, while ensuring that it redoubles its efforts t</w:t>
            </w:r>
            <w:r>
              <w:rPr>
                <w:rFonts w:ascii="Times New Roman" w:hAnsi="Times New Roman" w:cs="Times New Roman"/>
                <w:noProof/>
              </w:rPr>
              <w:t>o achieve gender balance with a specific strategy for the remainder of FP7. It should accept its responsibilities in a leadership role, with the support of the Member States, to use positive measures for the training of female scientists, including a dedic</w:t>
            </w:r>
            <w:r>
              <w:rPr>
                <w:rFonts w:ascii="Times New Roman" w:hAnsi="Times New Roman" w:cs="Times New Roman"/>
                <w:noProof/>
              </w:rPr>
              <w:t xml:space="preserve">ated scheme under the Marie Curie actions. </w:t>
            </w:r>
          </w:p>
          <w:p w:rsidR="00E535A0" w:rsidRDefault="00C953F5">
            <w:pPr>
              <w:jc w:val="both"/>
              <w:rPr>
                <w:rFonts w:ascii="Times New Roman" w:hAnsi="Times New Roman" w:cs="Times New Roman"/>
                <w:noProof/>
              </w:rPr>
            </w:pPr>
            <w:r>
              <w:rPr>
                <w:rFonts w:ascii="Times New Roman" w:hAnsi="Times New Roman" w:cs="Times New Roman"/>
                <w:noProof/>
              </w:rPr>
              <w:t>- The 40% target for female participation in Programme and Advisory Committees should be sensitively but rigorously implemented.</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The Commission attaches great importance to this issue although notes, since th</w:t>
            </w:r>
            <w:r>
              <w:rPr>
                <w:rFonts w:ascii="Times New Roman" w:hAnsi="Times New Roman" w:cs="Times New Roman"/>
                <w:noProof/>
              </w:rPr>
              <w:t>e FP is only a small part of total European research activity, the limits to what it can achieve on its own. Real progress necessitates a common approach actively supported by funding agencies and researchers across the European Research Area. In this cont</w:t>
            </w:r>
            <w:r>
              <w:rPr>
                <w:rFonts w:ascii="Times New Roman" w:hAnsi="Times New Roman" w:cs="Times New Roman"/>
                <w:noProof/>
              </w:rPr>
              <w:t xml:space="preserve">ext, the Commission accepts the challenge of taking a leading role. Further to the current activities - notably the 40% target; monitoring, awareness and promotion activities; and successes under the Marie Curie Actions - a series of additional activities </w:t>
            </w:r>
            <w:r>
              <w:rPr>
                <w:rFonts w:ascii="Times New Roman" w:hAnsi="Times New Roman" w:cs="Times New Roman"/>
                <w:noProof/>
              </w:rPr>
              <w:t>are proposed. The Commission will:</w:t>
            </w:r>
          </w:p>
          <w:p w:rsidR="00E535A0" w:rsidRDefault="00C953F5">
            <w:pPr>
              <w:jc w:val="both"/>
              <w:rPr>
                <w:rFonts w:ascii="Times New Roman" w:hAnsi="Times New Roman" w:cs="Times New Roman"/>
                <w:noProof/>
              </w:rPr>
            </w:pPr>
            <w:r>
              <w:rPr>
                <w:rFonts w:ascii="Times New Roman" w:hAnsi="Times New Roman" w:cs="Times New Roman"/>
                <w:noProof/>
              </w:rPr>
              <w:t>- fully implement the target to achieve 40% female participation in all evaluation and advisory committees – it will also seek the support of Member States to achieve this target for Programme Committees;</w:t>
            </w:r>
          </w:p>
          <w:p w:rsidR="00E535A0" w:rsidRDefault="00C953F5">
            <w:pPr>
              <w:jc w:val="both"/>
              <w:rPr>
                <w:rFonts w:ascii="Times New Roman" w:hAnsi="Times New Roman" w:cs="Times New Roman"/>
                <w:noProof/>
              </w:rPr>
            </w:pPr>
            <w:r>
              <w:rPr>
                <w:rFonts w:ascii="Times New Roman" w:hAnsi="Times New Roman" w:cs="Times New Roman"/>
                <w:noProof/>
              </w:rPr>
              <w:t>- launch new ana</w:t>
            </w:r>
            <w:r>
              <w:rPr>
                <w:rFonts w:ascii="Times New Roman" w:hAnsi="Times New Roman" w:cs="Times New Roman"/>
                <w:noProof/>
              </w:rPr>
              <w:t>lyses with the support of Member States and research institutions to identify, by end 2011, the cultural and situational factors which help shape female researcher participation, as well as measures to overcome these;</w:t>
            </w:r>
          </w:p>
          <w:p w:rsidR="00E535A0" w:rsidRDefault="00C953F5">
            <w:pPr>
              <w:jc w:val="both"/>
              <w:rPr>
                <w:rFonts w:ascii="Times New Roman" w:hAnsi="Times New Roman" w:cs="Times New Roman"/>
                <w:noProof/>
              </w:rPr>
            </w:pPr>
            <w:r>
              <w:rPr>
                <w:rFonts w:ascii="Times New Roman" w:hAnsi="Times New Roman" w:cs="Times New Roman"/>
                <w:noProof/>
              </w:rPr>
              <w:t>- reinforce monitoring in all stages o</w:t>
            </w:r>
            <w:r>
              <w:rPr>
                <w:rFonts w:ascii="Times New Roman" w:hAnsi="Times New Roman" w:cs="Times New Roman"/>
                <w:noProof/>
              </w:rPr>
              <w:t>f the project life-cycle;</w:t>
            </w:r>
          </w:p>
          <w:p w:rsidR="00E535A0" w:rsidRDefault="00C953F5">
            <w:pPr>
              <w:jc w:val="both"/>
              <w:rPr>
                <w:rFonts w:ascii="Times New Roman" w:hAnsi="Times New Roman" w:cs="Times New Roman"/>
                <w:noProof/>
              </w:rPr>
            </w:pPr>
            <w:r>
              <w:rPr>
                <w:rFonts w:ascii="Times New Roman" w:hAnsi="Times New Roman" w:cs="Times New Roman"/>
                <w:noProof/>
              </w:rPr>
              <w:t>- under the Marie Curie Actions, reinforce the role of a dedicated Career Restart Panel, helping those who wish to resume a career in research after a break, for example due to maternity leave.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b) The EC has continued its effort </w:t>
            </w:r>
            <w:r>
              <w:rPr>
                <w:rFonts w:ascii="Times New Roman" w:hAnsi="Times New Roman" w:cs="Times New Roman"/>
                <w:noProof/>
              </w:rPr>
              <w:t xml:space="preserve">in pursuing gender equality in Research and Innovation within the ERA and in the EU funding Programmes (FP7 and H2020). According to the Communication 'A Reinforced European Research Area Partnership for Excellence and Growth', the Commission is committed </w:t>
            </w:r>
            <w:r>
              <w:rPr>
                <w:rFonts w:ascii="Times New Roman" w:hAnsi="Times New Roman" w:cs="Times New Roman"/>
                <w:noProof/>
              </w:rPr>
              <w:t xml:space="preserve">to foster gender equality and the integration of a gender dimension in Horizon 2020 programmes and projects from inception, through implementation to evaluation, including through the use of incentives. In H2020 three main objectives have been set: gender </w:t>
            </w:r>
            <w:r>
              <w:rPr>
                <w:rFonts w:ascii="Times New Roman" w:hAnsi="Times New Roman" w:cs="Times New Roman"/>
                <w:noProof/>
              </w:rPr>
              <w:t xml:space="preserve">balance and equal opportunities in research teams at all level, gender balance in panels and advisory groups and integration of the gender dimension in research and innovation content. The Commission raised the target of the advisory groups to 50%.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In FP</w:t>
            </w:r>
            <w:r>
              <w:rPr>
                <w:rFonts w:ascii="Times New Roman" w:hAnsi="Times New Roman" w:cs="Times New Roman"/>
                <w:noProof/>
              </w:rPr>
              <w:t>7 a target of 40% of the under-represented sex was set for experts' panels and other groups. The overall proportion of women evaluators was slightly higher than the target (40.4%). The European Research Area Board (ERAB) reached 45,5%, (higher than the FP6</w:t>
            </w:r>
            <w:r>
              <w:rPr>
                <w:rFonts w:ascii="Times New Roman" w:hAnsi="Times New Roman" w:cs="Times New Roman"/>
                <w:noProof/>
              </w:rPr>
              <w:t xml:space="preserve"> European Advisory Board –EURAB- at 33%). The proportion of women in Advisory Groups, was overall 33%, with four of them ranging from 40 to 43%, three ranging from 37 to 39% and three lower than 30% (Space, NMP and ICT). Participation of women in Programme</w:t>
            </w:r>
            <w:r>
              <w:rPr>
                <w:rFonts w:ascii="Times New Roman" w:hAnsi="Times New Roman" w:cs="Times New Roman"/>
                <w:noProof/>
              </w:rPr>
              <w:t xml:space="preserve"> Committees increased from 2009 and almost reached the target (38 %).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The Commission published an expert report on 'Structural Change in research institutions - Enhancing excellence, gender equality and efficiency in research and innovation' in 2011. In </w:t>
            </w:r>
            <w:r>
              <w:rPr>
                <w:rFonts w:ascii="Times New Roman" w:hAnsi="Times New Roman" w:cs="Times New Roman"/>
                <w:noProof/>
              </w:rPr>
              <w:t>2014 the Commission published a report on 'Gender Equality Policies in Public Research' based on a survey among the members of the Helsinki Group, the Commission’s advisory group on gender, research and innovation. It gives a detailed analysis of the curre</w:t>
            </w:r>
            <w:r>
              <w:rPr>
                <w:rFonts w:ascii="Times New Roman" w:hAnsi="Times New Roman" w:cs="Times New Roman"/>
                <w:noProof/>
              </w:rPr>
              <w:t>nt state-of-play of EU Member States’ and associated countries’ initiatives for promoting gender equality in research and innovation. The Commission published the 2013 ERA Progress Report, presenting an overview of the political context, steps taken and fi</w:t>
            </w:r>
            <w:r>
              <w:rPr>
                <w:rFonts w:ascii="Times New Roman" w:hAnsi="Times New Roman" w:cs="Times New Roman"/>
                <w:noProof/>
              </w:rPr>
              <w:t>rst achievements. It was followed by the 2014 ERA Progress Report, which presented the new and updated measures adopted at national level, and for the first time compared them with the implementation of ERA actions at national level by research funding and</w:t>
            </w:r>
            <w:r>
              <w:rPr>
                <w:rFonts w:ascii="Times New Roman" w:hAnsi="Times New Roman" w:cs="Times New Roman"/>
                <w:noProof/>
              </w:rPr>
              <w:t xml:space="preserve"> research performing organisations. The monitoring in all stages of the project life-cycle has been enhanced and since the 6th FP7 Monitoring Report new indicators have been added: ie. for the Cooperation Programme the types of Gender Equality Actions impl</w:t>
            </w:r>
            <w:r>
              <w:rPr>
                <w:rFonts w:ascii="Times New Roman" w:hAnsi="Times New Roman" w:cs="Times New Roman"/>
                <w:noProof/>
              </w:rPr>
              <w:t>emented or the association of the gender dimension with the research content; projects workforce and gender of scientific staff for Cooperation, Capacities and Euratom Programmes.</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9. To pave the way for increased participation from Member States that ar</w:t>
            </w:r>
            <w:r>
              <w:rPr>
                <w:rFonts w:ascii="Times New Roman" w:hAnsi="Times New Roman" w:cs="Times New Roman"/>
                <w:noProof/>
              </w:rPr>
              <w:t>e under-represented greater prominence should be given to improved connections between the Structural Funds and the FP. Moreover, within the FP, the importance of the People programme for developing the potential for scientists from EU12 should be stressed</w:t>
            </w:r>
            <w:r>
              <w:rPr>
                <w:rFonts w:ascii="Times New Roman" w:hAnsi="Times New Roman" w:cs="Times New Roman"/>
                <w:noProof/>
              </w:rPr>
              <w:t>, as should the scope for using infrastructures.</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A specific example of progress already being made is the Synergies Expert Group (SEG), set up to find synergies between FP7, the Structural Funds and the Competitiveness and Innovation Framework Programm</w:t>
            </w:r>
            <w:r>
              <w:rPr>
                <w:rFonts w:ascii="Times New Roman" w:hAnsi="Times New Roman" w:cs="Times New Roman"/>
                <w:noProof/>
              </w:rPr>
              <w:t>e. With members from academic, policy and practical backgrounds, as well as the education corner of the knowledge triangle it will advise on both the current programming period (2011-2013) and into the next one, as well as on the future of FP7 regional act</w:t>
            </w:r>
            <w:r>
              <w:rPr>
                <w:rFonts w:ascii="Times New Roman" w:hAnsi="Times New Roman" w:cs="Times New Roman"/>
                <w:noProof/>
              </w:rPr>
              <w:t>ions. The SEG will benefit from recent analysis of synergies undertaken by the ERAC (European Research Area Committee). The Europe 2020 flagship initiatives on Innovation Union and the Digital Agenda have significant implications for achieving a better ali</w:t>
            </w:r>
            <w:r>
              <w:rPr>
                <w:rFonts w:ascii="Times New Roman" w:hAnsi="Times New Roman" w:cs="Times New Roman"/>
                <w:noProof/>
              </w:rPr>
              <w:t>gnment of EU policies and activities, including research, innovation and cohesion funding. The Structural Funds should provide support for capacity building, such as for research infrastructures and actions to deploy high-speed internet across Europe, ther</w:t>
            </w:r>
            <w:r>
              <w:rPr>
                <w:rFonts w:ascii="Times New Roman" w:hAnsi="Times New Roman" w:cs="Times New Roman"/>
                <w:noProof/>
              </w:rPr>
              <w:t>eby broadening the base of EU research and innovation and building capacities for a knowledge-based society.</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In its final report in 2011, the Synergies Expert Group made comprehensive recommendations on the development of synergies during the remainder</w:t>
            </w:r>
            <w:r>
              <w:rPr>
                <w:rFonts w:ascii="Times New Roman" w:hAnsi="Times New Roman" w:cs="Times New Roman"/>
                <w:noProof/>
              </w:rPr>
              <w:t xml:space="preserve"> of the 2007-13 programming period and the next (now current) programming period and on the future of the FP7 regional actions: Regions of Knowledge (RoK) and Research Potential (RP). Subsequently, in order to assist in the process of promoting synergies b</w:t>
            </w:r>
            <w:r>
              <w:rPr>
                <w:rFonts w:ascii="Times New Roman" w:hAnsi="Times New Roman" w:cs="Times New Roman"/>
                <w:noProof/>
              </w:rPr>
              <w:t>etween European Structural and Investment funds and H2020, the Commission services have produced guidance to the relevant authorities through a staff working document (SWD (2014)205 final) which contains explanations on the basic rules and principles for o</w:t>
            </w:r>
            <w:r>
              <w:rPr>
                <w:rFonts w:ascii="Times New Roman" w:hAnsi="Times New Roman" w:cs="Times New Roman"/>
                <w:noProof/>
              </w:rPr>
              <w:t>btaining synergies and combining the different funds, and contains recommendations to the relevant actors as well as Commission support to facilitate synergies. In addition, a short guide for the final beneficiaries has been produced. Since 2011 the Commis</w:t>
            </w:r>
            <w:r>
              <w:rPr>
                <w:rFonts w:ascii="Times New Roman" w:hAnsi="Times New Roman" w:cs="Times New Roman"/>
                <w:noProof/>
              </w:rPr>
              <w:t>sion has invested more than EUR 250 million into the programmes Research Potential and Regions of Knowledge. Research Potential helped to build capacities in terms of infrastructure and human resources for research organisations in less favoured regions th</w:t>
            </w:r>
            <w:r>
              <w:rPr>
                <w:rFonts w:ascii="Times New Roman" w:hAnsi="Times New Roman" w:cs="Times New Roman"/>
                <w:noProof/>
              </w:rPr>
              <w:t>at often prepared the ground for significant investments from he structural funds. Regions of Knowledge helped to upscale regional research intensive clusters to European partnerships and to align their research agendas with regional smart specialisation s</w:t>
            </w:r>
            <w:r>
              <w:rPr>
                <w:rFonts w:ascii="Times New Roman" w:hAnsi="Times New Roman" w:cs="Times New Roman"/>
                <w:noProof/>
              </w:rPr>
              <w:t xml:space="preserve">trategies.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Horizon 2020 includes for the first time a clear legal mandate to maximise synergies with the European Structural and Investment Funds (ESIF).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Horizon 2020 allocates around EUR 800 million for the period 2014-2020 through the specific Part </w:t>
            </w:r>
            <w:r>
              <w:rPr>
                <w:rFonts w:ascii="Times New Roman" w:hAnsi="Times New Roman" w:cs="Times New Roman"/>
                <w:noProof/>
              </w:rPr>
              <w:t>IV dedicated to 'Spreading Excellence and Widening Participation'. These 'Widening actions' of Horizon 2020 are also aimed to fostering synergies: the excellence of beneficiary institutions will be stepped up through Horizon 2020 whereas the necessary phys</w:t>
            </w:r>
            <w:r>
              <w:rPr>
                <w:rFonts w:ascii="Times New Roman" w:hAnsi="Times New Roman" w:cs="Times New Roman"/>
                <w:noProof/>
              </w:rPr>
              <w:t>ical infrastructures of these institutions are expected to be built up through ESIF. Part IV also contributes EU 150 million to the Intergovernmental Framework COST in order to develop and connect pockets of excellence in less research performing countries</w:t>
            </w:r>
            <w:r>
              <w:rPr>
                <w:rFonts w:ascii="Times New Roman" w:hAnsi="Times New Roman" w:cs="Times New Roman"/>
                <w:noProof/>
              </w:rPr>
              <w:t>.</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The Marie Curie Actions are perceived as a good entry point into collaborative research. </w:t>
            </w:r>
          </w:p>
          <w:p w:rsidR="00E535A0" w:rsidRDefault="00C953F5">
            <w:pPr>
              <w:jc w:val="both"/>
              <w:rPr>
                <w:rFonts w:ascii="Times New Roman" w:hAnsi="Times New Roman" w:cs="Times New Roman"/>
                <w:noProof/>
              </w:rPr>
            </w:pPr>
            <w:r>
              <w:rPr>
                <w:rFonts w:ascii="Times New Roman" w:hAnsi="Times New Roman" w:cs="Times New Roman"/>
                <w:noProof/>
              </w:rPr>
              <w:t xml:space="preserve">The process of raising awareness of the EU-13 research organisations and researchers about the possibilities of funding is in place. Working more closely with the </w:t>
            </w:r>
            <w:r>
              <w:rPr>
                <w:rFonts w:ascii="Times New Roman" w:hAnsi="Times New Roman" w:cs="Times New Roman"/>
                <w:noProof/>
              </w:rPr>
              <w:t>National Contact Points from the EU-13 Member States, sharing best practices and organising specialised workshops are important elements of ensuring broader participation of EU-13 in the Framework Programme.</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Under FP7, 11 ERA Chair projects have been fund</w:t>
            </w:r>
            <w:r>
              <w:rPr>
                <w:rFonts w:ascii="Times New Roman" w:hAnsi="Times New Roman" w:cs="Times New Roman"/>
                <w:noProof/>
              </w:rPr>
              <w:t xml:space="preserve">ed to enable institutions to attract top academics so that they can compete with centres of excellence elsewhere in the European Research Area (ERA) and in the world. The selected institutions have to award ERA Chairs to outstanding academics who have the </w:t>
            </w:r>
            <w:r>
              <w:rPr>
                <w:rFonts w:ascii="Times New Roman" w:hAnsi="Times New Roman" w:cs="Times New Roman"/>
                <w:noProof/>
              </w:rPr>
              <w:t>capacity to raise standards and attract more high level staff as well as money from other sources, such as EU research funding or regional funds. ERA Chair holders can come from anywhere in the world. Currently, under H2020- Spreading Excellence Widening P</w:t>
            </w:r>
            <w:r>
              <w:rPr>
                <w:rFonts w:ascii="Times New Roman" w:hAnsi="Times New Roman" w:cs="Times New Roman"/>
                <w:noProof/>
              </w:rPr>
              <w:t>articipation, 13 projects have been selected for funding and the grant agreements will be signed soon.</w:t>
            </w:r>
          </w:p>
          <w:p w:rsidR="00E535A0" w:rsidRDefault="00E535A0">
            <w:pPr>
              <w:jc w:val="both"/>
              <w:rPr>
                <w:rFonts w:ascii="Times New Roman" w:hAnsi="Times New Roman" w:cs="Times New Roman"/>
                <w:noProof/>
              </w:rPr>
            </w:pPr>
          </w:p>
        </w:tc>
      </w:tr>
      <w:tr w:rsidR="00E535A0">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10. Opening of the FP7 to international cooperation is of great value. As other regions rapidly strengthen their research and innovation capacities (w</w:t>
            </w:r>
            <w:r>
              <w:rPr>
                <w:rFonts w:ascii="Times New Roman" w:hAnsi="Times New Roman" w:cs="Times New Roman"/>
                <w:noProof/>
              </w:rPr>
              <w:t>ith Asia perhaps being the most notable example), but also as the urgency to address global challenges grows, the ability of European research and innovation to link up with other regions, markets and research and innovation agendas and to meet global need</w:t>
            </w:r>
            <w:r>
              <w:rPr>
                <w:rFonts w:ascii="Times New Roman" w:hAnsi="Times New Roman" w:cs="Times New Roman"/>
                <w:noProof/>
              </w:rPr>
              <w:t>s for innovative solutions to ‘Grand Challenges’ becomes increasingly important. A review based upon a thorough analysis of the current strategy towards international cooperation is needed. The international perspective must be integrated into all programm</w:t>
            </w:r>
            <w:r>
              <w:rPr>
                <w:rFonts w:ascii="Times New Roman" w:hAnsi="Times New Roman" w:cs="Times New Roman"/>
                <w:noProof/>
              </w:rPr>
              <w:t>es and instruments.</w:t>
            </w:r>
          </w:p>
        </w:tc>
        <w:tc>
          <w:tcPr>
            <w:tcW w:w="7110" w:type="dxa"/>
          </w:tcPr>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 xml:space="preserve">a) FP7 is already very open to international collaboration and involves participants from more than 160 countries. But both in finance and total numbers of participants the scale of this collaboration is relatively small, notably with </w:t>
            </w:r>
            <w:r>
              <w:rPr>
                <w:rFonts w:ascii="Times New Roman" w:hAnsi="Times New Roman" w:cs="Times New Roman"/>
                <w:noProof/>
              </w:rPr>
              <w:t>the leading and emerging research nations. This is a serious missed opportunity which must be addressed. Building on the experience of existing initiatives such as EU bilateral S&amp;T agreements and coordinated calls there is an urgent need for a more strateg</w:t>
            </w:r>
            <w:r>
              <w:rPr>
                <w:rFonts w:ascii="Times New Roman" w:hAnsi="Times New Roman" w:cs="Times New Roman"/>
                <w:noProof/>
              </w:rPr>
              <w:t>ic approach.</w:t>
            </w:r>
          </w:p>
          <w:p w:rsidR="00E535A0" w:rsidRDefault="00C953F5">
            <w:pPr>
              <w:jc w:val="both"/>
              <w:rPr>
                <w:rFonts w:ascii="Times New Roman" w:hAnsi="Times New Roman" w:cs="Times New Roman"/>
                <w:noProof/>
              </w:rPr>
            </w:pPr>
            <w:r>
              <w:rPr>
                <w:rFonts w:ascii="Times New Roman" w:hAnsi="Times New Roman" w:cs="Times New Roman"/>
                <w:noProof/>
              </w:rPr>
              <w:t>To this end the Commission will carry out a major review - to report by the end of 2011 - of its strategy for international collaboration. This will examine how to build critical mass and specialisation, in areas of European need and comparati</w:t>
            </w:r>
            <w:r>
              <w:rPr>
                <w:rFonts w:ascii="Times New Roman" w:hAnsi="Times New Roman" w:cs="Times New Roman"/>
                <w:noProof/>
              </w:rPr>
              <w:t>ve advantage, taking into account the proposal above (2.1) for a future focus on major challenges. In this context, it will also be essential to better define the common and respective roles of Member States and the Framework Programme as well as the means</w:t>
            </w:r>
            <w:r>
              <w:rPr>
                <w:rFonts w:ascii="Times New Roman" w:hAnsi="Times New Roman" w:cs="Times New Roman"/>
                <w:noProof/>
              </w:rPr>
              <w:t>, such as through the Strategic Forum for International S&amp;T Cooperation, to identify areas of common interest and approaches.</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b) In September 2012 the Commission adopted a Communication on 'Enhancing and focusing EU international cooperation in research a</w:t>
            </w:r>
            <w:r>
              <w:rPr>
                <w:rFonts w:ascii="Times New Roman" w:hAnsi="Times New Roman" w:cs="Times New Roman"/>
                <w:noProof/>
              </w:rPr>
              <w:t>nd innovation: a strategic approach' aiming at strengthening the Union’s excellence and attractiveness, tackling global societal challenges, and supporting the Union’s external policies.  The dual approach proposed (openness and targeted international coop</w:t>
            </w:r>
            <w:r>
              <w:rPr>
                <w:rFonts w:ascii="Times New Roman" w:hAnsi="Times New Roman" w:cs="Times New Roman"/>
                <w:noProof/>
              </w:rPr>
              <w:t xml:space="preserve">eration activities) has been applied while ensuring coordination with EU MS and AC and devoting growing attention to address framework conditions.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A first two-year implementation report with roadmaps for eleven countries and regions published in autumn 2</w:t>
            </w:r>
            <w:r>
              <w:rPr>
                <w:rFonts w:ascii="Times New Roman" w:hAnsi="Times New Roman" w:cs="Times New Roman"/>
                <w:noProof/>
              </w:rPr>
              <w:t xml:space="preserve">014 acknowledged the implementation of the strategy and recommended to better integrate international cooperation in the work programme development and to refine the communication strategy.  </w:t>
            </w:r>
          </w:p>
          <w:p w:rsidR="00E535A0" w:rsidRDefault="00E535A0">
            <w:pPr>
              <w:jc w:val="both"/>
              <w:rPr>
                <w:rFonts w:ascii="Times New Roman" w:hAnsi="Times New Roman" w:cs="Times New Roman"/>
                <w:noProof/>
              </w:rPr>
            </w:pPr>
          </w:p>
          <w:p w:rsidR="00E535A0" w:rsidRDefault="00C953F5">
            <w:pPr>
              <w:jc w:val="both"/>
              <w:rPr>
                <w:rFonts w:ascii="Times New Roman" w:hAnsi="Times New Roman" w:cs="Times New Roman"/>
                <w:noProof/>
              </w:rPr>
            </w:pPr>
            <w:r>
              <w:rPr>
                <w:rFonts w:ascii="Times New Roman" w:hAnsi="Times New Roman" w:cs="Times New Roman"/>
                <w:noProof/>
              </w:rPr>
              <w:t>However the preliminary results of the first Horizon 2020 calls</w:t>
            </w:r>
            <w:r>
              <w:rPr>
                <w:rFonts w:ascii="Times New Roman" w:hAnsi="Times New Roman" w:cs="Times New Roman"/>
                <w:noProof/>
              </w:rPr>
              <w:t xml:space="preserve"> have shown a sharp decline in the participation of International Partner Countries compared to FP7. This is also due to the fact that BRIC-M partners are no longer systematically funded. Redress measures will be implemented through the 2016-17 work progra</w:t>
            </w:r>
            <w:r>
              <w:rPr>
                <w:rFonts w:ascii="Times New Roman" w:hAnsi="Times New Roman" w:cs="Times New Roman"/>
                <w:noProof/>
              </w:rPr>
              <w:t>mmes to be published in autumn 2015.</w:t>
            </w:r>
          </w:p>
        </w:tc>
      </w:tr>
    </w:tbl>
    <w:p w:rsidR="00E535A0" w:rsidRDefault="00E535A0">
      <w:pPr>
        <w:spacing w:line="240" w:lineRule="auto"/>
        <w:rPr>
          <w:noProof/>
          <w:szCs w:val="24"/>
        </w:rPr>
      </w:pPr>
    </w:p>
    <w:p w:rsidR="00E535A0" w:rsidRDefault="00C953F5">
      <w:pPr>
        <w:spacing w:line="240" w:lineRule="auto"/>
        <w:rPr>
          <w:noProof/>
          <w:szCs w:val="24"/>
        </w:rPr>
      </w:pPr>
      <w:r>
        <w:rPr>
          <w:noProof/>
          <w:szCs w:val="24"/>
        </w:rPr>
        <w:br w:type="page"/>
      </w:r>
    </w:p>
    <w:p w:rsidR="00E535A0" w:rsidRDefault="00E535A0">
      <w:pPr>
        <w:pStyle w:val="berschrift1"/>
        <w:rPr>
          <w:noProof/>
        </w:rPr>
        <w:sectPr w:rsidR="00E535A0">
          <w:headerReference w:type="even" r:id="rId94"/>
          <w:headerReference w:type="default" r:id="rId95"/>
          <w:footerReference w:type="even" r:id="rId96"/>
          <w:footerReference w:type="default" r:id="rId97"/>
          <w:headerReference w:type="first" r:id="rId98"/>
          <w:footerReference w:type="first" r:id="rId99"/>
          <w:pgSz w:w="16838" w:h="11906" w:orient="landscape"/>
          <w:pgMar w:top="1701" w:right="1701" w:bottom="1701" w:left="1701" w:header="709" w:footer="709" w:gutter="0"/>
          <w:cols w:space="720"/>
          <w:docGrid w:linePitch="360"/>
        </w:sectPr>
      </w:pPr>
    </w:p>
    <w:p w:rsidR="00E535A0" w:rsidRDefault="00C953F5">
      <w:pPr>
        <w:pStyle w:val="berschrift1"/>
        <w:rPr>
          <w:noProof/>
          <w:szCs w:val="24"/>
        </w:rPr>
      </w:pPr>
      <w:bookmarkStart w:id="42" w:name="_Toc433998142"/>
      <w:bookmarkStart w:id="43" w:name="_Toc439752812"/>
      <w:r>
        <w:rPr>
          <w:noProof/>
          <w:szCs w:val="24"/>
        </w:rPr>
        <w:t>The Assessment of Impact of FP7 At National Level</w:t>
      </w:r>
      <w:bookmarkEnd w:id="42"/>
      <w:bookmarkEnd w:id="43"/>
    </w:p>
    <w:p w:rsidR="00E535A0" w:rsidRDefault="00E535A0">
      <w:pPr>
        <w:spacing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 Summary of the evidence base</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evidence base concerning the assessment of the impact of FP7 </w:t>
      </w:r>
      <w:r>
        <w:rPr>
          <w:rFonts w:ascii="Times New Roman" w:hAnsi="Times New Roman" w:cs="Times New Roman"/>
          <w:noProof/>
          <w:sz w:val="24"/>
          <w:szCs w:val="24"/>
        </w:rPr>
        <w:t>participation at national level is summarised in the table below:</w:t>
      </w:r>
    </w:p>
    <w:tbl>
      <w:tblPr>
        <w:tblStyle w:val="TableGrid5"/>
        <w:tblW w:w="0" w:type="auto"/>
        <w:tblLook w:val="04A0" w:firstRow="1" w:lastRow="0" w:firstColumn="1" w:lastColumn="0" w:noHBand="0" w:noVBand="1"/>
      </w:tblPr>
      <w:tblGrid>
        <w:gridCol w:w="696"/>
        <w:gridCol w:w="1578"/>
        <w:gridCol w:w="4166"/>
        <w:gridCol w:w="2280"/>
      </w:tblGrid>
      <w:tr w:rsidR="00E535A0">
        <w:tc>
          <w:tcPr>
            <w:tcW w:w="696" w:type="dxa"/>
            <w:shd w:val="clear" w:color="auto" w:fill="C0504D" w:themeFill="accent2"/>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Item</w:t>
            </w:r>
          </w:p>
        </w:tc>
        <w:tc>
          <w:tcPr>
            <w:tcW w:w="1698" w:type="dxa"/>
            <w:shd w:val="clear" w:color="auto" w:fill="C0504D" w:themeFill="accent2"/>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Country </w:t>
            </w:r>
          </w:p>
        </w:tc>
        <w:tc>
          <w:tcPr>
            <w:tcW w:w="5622" w:type="dxa"/>
            <w:shd w:val="clear" w:color="auto" w:fill="C0504D" w:themeFill="accent2"/>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Literature reference</w:t>
            </w:r>
          </w:p>
        </w:tc>
        <w:tc>
          <w:tcPr>
            <w:tcW w:w="2666" w:type="dxa"/>
            <w:shd w:val="clear" w:color="auto" w:fill="C0504D" w:themeFill="accent2"/>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Methodology employed </w:t>
            </w:r>
          </w:p>
        </w:tc>
      </w:tr>
      <w:tr w:rsidR="00E535A0">
        <w:tc>
          <w:tcPr>
            <w:tcW w:w="69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1.</w:t>
            </w:r>
          </w:p>
        </w:tc>
        <w:tc>
          <w:tcPr>
            <w:tcW w:w="169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Sweden</w:t>
            </w: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Impacts of the Framework Programme in Sweden</w:t>
            </w:r>
            <w:r>
              <w:rPr>
                <w:rFonts w:ascii="Times New Roman" w:hAnsi="Times New Roman" w:cs="Times New Roman"/>
                <w:noProof/>
                <w:sz w:val="24"/>
                <w:szCs w:val="24"/>
                <w:vertAlign w:val="superscript"/>
              </w:rPr>
              <w:footnoteReference w:id="78"/>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Impact analysis based on bibliometric analysis, longitudinal analysis dating</w:t>
            </w:r>
            <w:r>
              <w:rPr>
                <w:rFonts w:ascii="Times New Roman" w:hAnsi="Times New Roman" w:cs="Times New Roman"/>
                <w:noProof/>
                <w:sz w:val="24"/>
                <w:szCs w:val="24"/>
              </w:rPr>
              <w:t xml:space="preserve"> back to 1990 participation statistics and interviews</w:t>
            </w:r>
          </w:p>
        </w:tc>
      </w:tr>
      <w:tr w:rsidR="00E535A0">
        <w:tc>
          <w:tcPr>
            <w:tcW w:w="69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2.</w:t>
            </w:r>
          </w:p>
        </w:tc>
        <w:tc>
          <w:tcPr>
            <w:tcW w:w="169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Austria</w:t>
            </w: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bCs/>
                <w:noProof/>
                <w:sz w:val="24"/>
                <w:szCs w:val="24"/>
              </w:rPr>
              <w:t>Evaluation of Austrian Support Structures for FP 7 &amp; Eureka and Impact Analysis of EU Research Initiatives on the Austrian Research &amp; Innovation System</w:t>
            </w:r>
            <w:r>
              <w:rPr>
                <w:rFonts w:ascii="Times New Roman" w:hAnsi="Times New Roman" w:cs="Times New Roman"/>
                <w:bCs/>
                <w:noProof/>
                <w:sz w:val="24"/>
                <w:szCs w:val="24"/>
                <w:vertAlign w:val="superscript"/>
              </w:rPr>
              <w:footnoteReference w:id="79"/>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Mixture of quantitative and </w:t>
            </w:r>
            <w:r>
              <w:rPr>
                <w:rFonts w:ascii="Times New Roman" w:hAnsi="Times New Roman" w:cs="Times New Roman"/>
                <w:noProof/>
                <w:sz w:val="24"/>
                <w:szCs w:val="24"/>
              </w:rPr>
              <w:t>qualitative methods based on surveys, interviews, literature review, logical framework analysis and secondary data analysis.</w:t>
            </w:r>
          </w:p>
        </w:tc>
      </w:tr>
      <w:tr w:rsidR="00E535A0">
        <w:tc>
          <w:tcPr>
            <w:tcW w:w="696" w:type="dxa"/>
            <w:vMerge w:val="restart"/>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3.</w:t>
            </w:r>
          </w:p>
        </w:tc>
        <w:tc>
          <w:tcPr>
            <w:tcW w:w="1698" w:type="dxa"/>
            <w:vMerge w:val="restart"/>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Denmark</w:t>
            </w:r>
          </w:p>
        </w:tc>
        <w:tc>
          <w:tcPr>
            <w:tcW w:w="5622" w:type="dxa"/>
          </w:tcPr>
          <w:p w:rsidR="00E535A0" w:rsidRDefault="00C953F5">
            <w:pPr>
              <w:jc w:val="both"/>
              <w:rPr>
                <w:rFonts w:ascii="Times New Roman" w:hAnsi="Times New Roman" w:cs="Times New Roman"/>
                <w:i/>
                <w:noProof/>
                <w:sz w:val="24"/>
                <w:szCs w:val="24"/>
              </w:rPr>
            </w:pPr>
            <w:r>
              <w:rPr>
                <w:rFonts w:ascii="Times New Roman" w:hAnsi="Times New Roman" w:cs="Times New Roman"/>
                <w:noProof/>
                <w:sz w:val="24"/>
                <w:szCs w:val="24"/>
              </w:rPr>
              <w:t xml:space="preserve">Firm Participation: Descriptive Statistics and Impact Assessment </w:t>
            </w:r>
            <w:r>
              <w:rPr>
                <w:rFonts w:ascii="Times New Roman" w:hAnsi="Times New Roman" w:cs="Times New Roman"/>
                <w:i/>
                <w:noProof/>
                <w:sz w:val="24"/>
                <w:szCs w:val="24"/>
              </w:rPr>
              <w:t>(to be published by Danish Agency for Science, Technol</w:t>
            </w:r>
            <w:r>
              <w:rPr>
                <w:rFonts w:ascii="Times New Roman" w:hAnsi="Times New Roman" w:cs="Times New Roman"/>
                <w:i/>
                <w:noProof/>
                <w:sz w:val="24"/>
                <w:szCs w:val="24"/>
              </w:rPr>
              <w:t>ogy and Innovation in September)</w:t>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Quantitative method</w:t>
            </w:r>
          </w:p>
        </w:tc>
      </w:tr>
      <w:tr w:rsidR="00E535A0">
        <w:tc>
          <w:tcPr>
            <w:tcW w:w="696" w:type="dxa"/>
            <w:vMerge/>
          </w:tcPr>
          <w:p w:rsidR="00E535A0" w:rsidRDefault="00E535A0">
            <w:pPr>
              <w:jc w:val="both"/>
              <w:rPr>
                <w:rFonts w:ascii="Times New Roman" w:hAnsi="Times New Roman" w:cs="Times New Roman"/>
                <w:noProof/>
                <w:sz w:val="24"/>
                <w:szCs w:val="24"/>
              </w:rPr>
            </w:pPr>
          </w:p>
        </w:tc>
        <w:tc>
          <w:tcPr>
            <w:tcW w:w="1698" w:type="dxa"/>
            <w:vMerge/>
          </w:tcPr>
          <w:p w:rsidR="00E535A0" w:rsidRDefault="00E535A0">
            <w:pPr>
              <w:jc w:val="both"/>
              <w:rPr>
                <w:rFonts w:ascii="Times New Roman" w:hAnsi="Times New Roman" w:cs="Times New Roman"/>
                <w:noProof/>
                <w:sz w:val="24"/>
                <w:szCs w:val="24"/>
              </w:rPr>
            </w:pP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The evaluation of Danish participation in FP6 and FP7</w:t>
            </w:r>
            <w:r>
              <w:rPr>
                <w:rFonts w:ascii="Times New Roman" w:hAnsi="Times New Roman" w:cs="Times New Roman"/>
                <w:noProof/>
                <w:sz w:val="24"/>
                <w:szCs w:val="24"/>
                <w:vertAlign w:val="superscript"/>
              </w:rPr>
              <w:footnoteReference w:id="80"/>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Survey, interviews and statistical analysis</w:t>
            </w:r>
          </w:p>
        </w:tc>
      </w:tr>
      <w:tr w:rsidR="00E535A0">
        <w:tc>
          <w:tcPr>
            <w:tcW w:w="696" w:type="dxa"/>
            <w:vMerge/>
          </w:tcPr>
          <w:p w:rsidR="00E535A0" w:rsidRDefault="00E535A0">
            <w:pPr>
              <w:jc w:val="both"/>
              <w:rPr>
                <w:rFonts w:ascii="Times New Roman" w:hAnsi="Times New Roman" w:cs="Times New Roman"/>
                <w:noProof/>
                <w:sz w:val="24"/>
                <w:szCs w:val="24"/>
              </w:rPr>
            </w:pPr>
          </w:p>
        </w:tc>
        <w:tc>
          <w:tcPr>
            <w:tcW w:w="1698" w:type="dxa"/>
            <w:vMerge/>
          </w:tcPr>
          <w:p w:rsidR="00E535A0" w:rsidRDefault="00E535A0">
            <w:pPr>
              <w:jc w:val="both"/>
              <w:rPr>
                <w:rFonts w:ascii="Times New Roman" w:hAnsi="Times New Roman" w:cs="Times New Roman"/>
                <w:noProof/>
                <w:sz w:val="24"/>
                <w:szCs w:val="24"/>
              </w:rPr>
            </w:pP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Bibliometric performance analyses of publications from Danish researchers linked to FP6 and FP7 </w:t>
            </w:r>
            <w:r>
              <w:rPr>
                <w:rFonts w:ascii="Times New Roman" w:hAnsi="Times New Roman" w:cs="Times New Roman"/>
                <w:i/>
                <w:noProof/>
                <w:sz w:val="24"/>
                <w:szCs w:val="24"/>
              </w:rPr>
              <w:t>(to be published by Danish Agency for Science, Technology and Innovation in September)</w:t>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Bibliometric analysis</w:t>
            </w:r>
          </w:p>
        </w:tc>
      </w:tr>
      <w:tr w:rsidR="00E535A0">
        <w:tc>
          <w:tcPr>
            <w:tcW w:w="69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4.</w:t>
            </w:r>
          </w:p>
        </w:tc>
        <w:tc>
          <w:tcPr>
            <w:tcW w:w="169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Czech Republic</w:t>
            </w:r>
          </w:p>
        </w:tc>
        <w:tc>
          <w:tcPr>
            <w:tcW w:w="5622" w:type="dxa"/>
          </w:tcPr>
          <w:p w:rsidR="00E535A0" w:rsidRDefault="00C953F5">
            <w:pPr>
              <w:jc w:val="both"/>
              <w:rPr>
                <w:rFonts w:ascii="Times New Roman" w:hAnsi="Times New Roman" w:cs="Times New Roman"/>
                <w:bCs/>
                <w:noProof/>
                <w:sz w:val="24"/>
                <w:szCs w:val="24"/>
              </w:rPr>
            </w:pPr>
            <w:r>
              <w:rPr>
                <w:rFonts w:ascii="Times New Roman" w:hAnsi="Times New Roman" w:cs="Times New Roman"/>
                <w:bCs/>
                <w:noProof/>
                <w:sz w:val="24"/>
                <w:szCs w:val="24"/>
              </w:rPr>
              <w:t>The 6</w:t>
            </w:r>
            <w:r>
              <w:rPr>
                <w:rFonts w:ascii="Times New Roman" w:hAnsi="Times New Roman" w:cs="Times New Roman"/>
                <w:bCs/>
                <w:noProof/>
                <w:sz w:val="24"/>
                <w:szCs w:val="24"/>
                <w:vertAlign w:val="superscript"/>
              </w:rPr>
              <w:t>th</w:t>
            </w:r>
            <w:r>
              <w:rPr>
                <w:rFonts w:ascii="Times New Roman" w:hAnsi="Times New Roman" w:cs="Times New Roman"/>
                <w:bCs/>
                <w:noProof/>
                <w:sz w:val="24"/>
                <w:szCs w:val="24"/>
              </w:rPr>
              <w:t xml:space="preserve"> Continuous Report on the CZ Participation in the FP7</w:t>
            </w:r>
            <w:r>
              <w:rPr>
                <w:rFonts w:ascii="Times New Roman" w:hAnsi="Times New Roman" w:cs="Times New Roman"/>
                <w:bCs/>
                <w:noProof/>
                <w:sz w:val="24"/>
                <w:szCs w:val="24"/>
                <w:vertAlign w:val="superscript"/>
              </w:rPr>
              <w:footnoteReference w:id="81"/>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Statistical methods including regression analysis and network anal</w:t>
            </w:r>
            <w:r>
              <w:rPr>
                <w:rFonts w:ascii="Times New Roman" w:hAnsi="Times New Roman" w:cs="Times New Roman"/>
                <w:noProof/>
                <w:sz w:val="24"/>
                <w:szCs w:val="24"/>
              </w:rPr>
              <w:t>ysis</w:t>
            </w:r>
          </w:p>
        </w:tc>
      </w:tr>
      <w:tr w:rsidR="00E535A0">
        <w:tc>
          <w:tcPr>
            <w:tcW w:w="69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5.</w:t>
            </w:r>
          </w:p>
        </w:tc>
        <w:tc>
          <w:tcPr>
            <w:tcW w:w="169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United Kingdom</w:t>
            </w: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The impact of the EU RTD Framework Programme on the UK</w:t>
            </w:r>
            <w:r>
              <w:rPr>
                <w:rFonts w:ascii="Times New Roman" w:hAnsi="Times New Roman" w:cs="Times New Roman"/>
                <w:noProof/>
                <w:sz w:val="24"/>
                <w:szCs w:val="24"/>
                <w:vertAlign w:val="superscript"/>
              </w:rPr>
              <w:footnoteReference w:id="82"/>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A mixture of quantitative and qualitative methods including desk research, survey and interviews</w:t>
            </w:r>
          </w:p>
        </w:tc>
      </w:tr>
      <w:tr w:rsidR="00E535A0">
        <w:tc>
          <w:tcPr>
            <w:tcW w:w="69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6.</w:t>
            </w:r>
          </w:p>
        </w:tc>
        <w:tc>
          <w:tcPr>
            <w:tcW w:w="169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Slovenia</w:t>
            </w: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Participation in  the EU FP – Policy implications</w:t>
            </w:r>
            <w:r>
              <w:rPr>
                <w:rFonts w:ascii="Times New Roman" w:hAnsi="Times New Roman" w:cs="Times New Roman"/>
                <w:noProof/>
                <w:sz w:val="24"/>
                <w:szCs w:val="24"/>
                <w:vertAlign w:val="superscript"/>
              </w:rPr>
              <w:footnoteReference w:id="83"/>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Advanced </w:t>
            </w:r>
            <w:r>
              <w:rPr>
                <w:rFonts w:ascii="Times New Roman" w:hAnsi="Times New Roman" w:cs="Times New Roman"/>
                <w:noProof/>
                <w:sz w:val="24"/>
                <w:szCs w:val="24"/>
              </w:rPr>
              <w:t>statistics including correlation analysis (Pearson's) and cluster analysis</w:t>
            </w:r>
          </w:p>
        </w:tc>
      </w:tr>
      <w:tr w:rsidR="00E535A0">
        <w:tc>
          <w:tcPr>
            <w:tcW w:w="69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7.</w:t>
            </w:r>
          </w:p>
        </w:tc>
        <w:tc>
          <w:tcPr>
            <w:tcW w:w="169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Switzerland</w:t>
            </w: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Impact of Swiss Participation in the Seventh European</w:t>
            </w:r>
          </w:p>
          <w:p w:rsidR="00E535A0" w:rsidRDefault="00C953F5">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szCs w:val="24"/>
              </w:rPr>
              <w:t>Framework Programme for Research</w:t>
            </w:r>
            <w:r>
              <w:rPr>
                <w:rFonts w:ascii="Times New Roman" w:hAnsi="Times New Roman" w:cs="Times New Roman"/>
                <w:noProof/>
                <w:sz w:val="24"/>
                <w:szCs w:val="24"/>
                <w:vertAlign w:val="superscript"/>
              </w:rPr>
              <w:footnoteReference w:id="84"/>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Survey and statistical analysis</w:t>
            </w:r>
          </w:p>
        </w:tc>
      </w:tr>
      <w:tr w:rsidR="00E535A0">
        <w:tc>
          <w:tcPr>
            <w:tcW w:w="696" w:type="dxa"/>
            <w:vMerge w:val="restart"/>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8.</w:t>
            </w:r>
          </w:p>
        </w:tc>
        <w:tc>
          <w:tcPr>
            <w:tcW w:w="1698" w:type="dxa"/>
            <w:vMerge w:val="restart"/>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Norway</w:t>
            </w: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Norwegian Research Barometer 2013</w:t>
            </w:r>
            <w:r>
              <w:rPr>
                <w:rFonts w:ascii="Times New Roman" w:hAnsi="Times New Roman" w:cs="Times New Roman"/>
                <w:noProof/>
                <w:sz w:val="24"/>
                <w:szCs w:val="24"/>
                <w:vertAlign w:val="superscript"/>
              </w:rPr>
              <w:footnoteReference w:id="85"/>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Participation statistics and international benchmarking based on indicators</w:t>
            </w:r>
          </w:p>
        </w:tc>
      </w:tr>
      <w:tr w:rsidR="00E535A0">
        <w:tc>
          <w:tcPr>
            <w:tcW w:w="696" w:type="dxa"/>
            <w:vMerge/>
          </w:tcPr>
          <w:p w:rsidR="00E535A0" w:rsidRDefault="00E535A0">
            <w:pPr>
              <w:jc w:val="both"/>
              <w:rPr>
                <w:rFonts w:ascii="Times New Roman" w:hAnsi="Times New Roman" w:cs="Times New Roman"/>
                <w:noProof/>
                <w:sz w:val="24"/>
                <w:szCs w:val="24"/>
              </w:rPr>
            </w:pPr>
          </w:p>
        </w:tc>
        <w:tc>
          <w:tcPr>
            <w:tcW w:w="1698" w:type="dxa"/>
            <w:vMerge/>
          </w:tcPr>
          <w:p w:rsidR="00E535A0" w:rsidRDefault="00E535A0">
            <w:pPr>
              <w:jc w:val="both"/>
              <w:rPr>
                <w:rFonts w:ascii="Times New Roman" w:hAnsi="Times New Roman" w:cs="Times New Roman"/>
                <w:noProof/>
                <w:sz w:val="24"/>
                <w:szCs w:val="24"/>
              </w:rPr>
            </w:pPr>
          </w:p>
        </w:tc>
        <w:tc>
          <w:tcPr>
            <w:tcW w:w="56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An evaluation of the Norwegian participation in FP6 and FP7</w:t>
            </w:r>
            <w:r>
              <w:rPr>
                <w:rFonts w:ascii="Times New Roman" w:hAnsi="Times New Roman" w:cs="Times New Roman"/>
                <w:noProof/>
                <w:sz w:val="24"/>
                <w:szCs w:val="24"/>
                <w:vertAlign w:val="superscript"/>
              </w:rPr>
              <w:footnoteReference w:id="86"/>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A combination of quantitative and qualitative methods based on survey, interviews, case studies and bibliometric </w:t>
            </w:r>
            <w:r>
              <w:rPr>
                <w:rFonts w:ascii="Times New Roman" w:hAnsi="Times New Roman" w:cs="Times New Roman"/>
                <w:noProof/>
                <w:sz w:val="24"/>
                <w:szCs w:val="24"/>
              </w:rPr>
              <w:t>analyses</w:t>
            </w:r>
          </w:p>
        </w:tc>
      </w:tr>
      <w:tr w:rsidR="00E535A0">
        <w:tc>
          <w:tcPr>
            <w:tcW w:w="696" w:type="dxa"/>
            <w:vMerge/>
          </w:tcPr>
          <w:p w:rsidR="00E535A0" w:rsidRDefault="00E535A0">
            <w:pPr>
              <w:jc w:val="both"/>
              <w:rPr>
                <w:rFonts w:ascii="Times New Roman" w:hAnsi="Times New Roman" w:cs="Times New Roman"/>
                <w:noProof/>
                <w:sz w:val="24"/>
                <w:szCs w:val="24"/>
              </w:rPr>
            </w:pPr>
          </w:p>
        </w:tc>
        <w:tc>
          <w:tcPr>
            <w:tcW w:w="1698" w:type="dxa"/>
            <w:vMerge/>
          </w:tcPr>
          <w:p w:rsidR="00E535A0" w:rsidRDefault="00E535A0">
            <w:pPr>
              <w:jc w:val="both"/>
              <w:rPr>
                <w:rFonts w:ascii="Times New Roman" w:hAnsi="Times New Roman" w:cs="Times New Roman"/>
                <w:noProof/>
                <w:sz w:val="24"/>
                <w:szCs w:val="24"/>
              </w:rPr>
            </w:pPr>
          </w:p>
        </w:tc>
        <w:tc>
          <w:tcPr>
            <w:tcW w:w="5622" w:type="dxa"/>
          </w:tcPr>
          <w:p w:rsidR="00E535A0" w:rsidRDefault="00C953F5">
            <w:pPr>
              <w:jc w:val="both"/>
              <w:rPr>
                <w:rFonts w:ascii="Times New Roman" w:hAnsi="Times New Roman" w:cs="Times New Roman"/>
                <w:bCs/>
                <w:noProof/>
                <w:sz w:val="24"/>
                <w:szCs w:val="24"/>
              </w:rPr>
            </w:pPr>
            <w:r>
              <w:rPr>
                <w:rFonts w:ascii="Times New Roman" w:hAnsi="Times New Roman" w:cs="Times New Roman"/>
                <w:bCs/>
                <w:noProof/>
                <w:sz w:val="24"/>
                <w:szCs w:val="24"/>
              </w:rPr>
              <w:t>On motives for participation in the Framework Programme by Technopolis</w:t>
            </w:r>
            <w:r>
              <w:rPr>
                <w:rFonts w:ascii="Times New Roman" w:hAnsi="Times New Roman" w:cs="Times New Roman"/>
                <w:bCs/>
                <w:noProof/>
                <w:sz w:val="24"/>
                <w:szCs w:val="24"/>
                <w:vertAlign w:val="superscript"/>
              </w:rPr>
              <w:footnoteReference w:id="87"/>
            </w:r>
          </w:p>
        </w:tc>
        <w:tc>
          <w:tcPr>
            <w:tcW w:w="2666"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Desk research, survey and interviews</w:t>
            </w:r>
          </w:p>
        </w:tc>
      </w:tr>
    </w:tbl>
    <w:p w:rsidR="00E535A0" w:rsidRDefault="00E535A0">
      <w:pPr>
        <w:spacing w:line="240" w:lineRule="auto"/>
        <w:jc w:val="both"/>
        <w:rPr>
          <w:rFonts w:ascii="Times New Roman" w:hAnsi="Times New Roman" w:cs="Times New Roman"/>
          <w:noProof/>
          <w:sz w:val="24"/>
          <w:szCs w:val="24"/>
        </w:rPr>
      </w:pP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II. Main findings and policy implications based on evidence aimed at assessing the impact of FP7 participation at national level. </w:t>
      </w:r>
      <w:r>
        <w:rPr>
          <w:rFonts w:ascii="Times New Roman" w:hAnsi="Times New Roman" w:cs="Times New Roman"/>
          <w:i/>
          <w:noProof/>
          <w:sz w:val="24"/>
          <w:szCs w:val="24"/>
        </w:rPr>
        <w:t>(see evidence in order of reference above)</w:t>
      </w: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 Impacts of the FP participation on Sweden</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suggests that the FPs have had some important impacts in Sweden and that some of the areas of limited impact result from a lack of strategic direction from the Swedish side.  The FPs have had limited strategic impact because there are not many st</w:t>
      </w:r>
      <w:r>
        <w:rPr>
          <w:rFonts w:ascii="Times New Roman" w:hAnsi="Times New Roman" w:cs="Times New Roman"/>
          <w:noProof/>
          <w:sz w:val="24"/>
          <w:szCs w:val="24"/>
        </w:rPr>
        <w:t>rategies to impact. This is a vicious circle: in the absence of national strategy, it is difficult to articulate how the FPs’ strategies should change in order to serve the national interest. Partly as a result of this, the FPs’ ambition to structure’ rese</w:t>
      </w:r>
      <w:r>
        <w:rPr>
          <w:rFonts w:ascii="Times New Roman" w:hAnsi="Times New Roman" w:cs="Times New Roman"/>
          <w:noProof/>
          <w:sz w:val="24"/>
          <w:szCs w:val="24"/>
        </w:rPr>
        <w:t xml:space="preserve">arch in Sweden has not been realised at all.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FP resources have added a little scale but not changed the structure of the higher education and research sector – and certainly not helped address the long-standing problem of fragmentation. In principle </w:t>
      </w:r>
      <w:r>
        <w:rPr>
          <w:rFonts w:ascii="Times New Roman" w:hAnsi="Times New Roman" w:cs="Times New Roman"/>
          <w:noProof/>
          <w:sz w:val="24"/>
          <w:szCs w:val="24"/>
        </w:rPr>
        <w:t>the FP resources could be used to support restructuring, but only in the presence of national strategies.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appears likely that the FPs have had a positive influence on research quality.</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Where there are strong industrial lobbies or groupings, it has hel</w:t>
      </w:r>
      <w:r>
        <w:rPr>
          <w:rFonts w:ascii="Times New Roman" w:hAnsi="Times New Roman" w:cs="Times New Roman"/>
          <w:noProof/>
          <w:sz w:val="24"/>
          <w:szCs w:val="24"/>
        </w:rPr>
        <w:t>ped generate agreement about technical directions and influenced standards – and this has been very beneficial for major Swedish companies. It has more broadly supported industrial innovation in both small and large firms.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analysis also points to circ</w:t>
      </w:r>
      <w:r>
        <w:rPr>
          <w:rFonts w:ascii="Times New Roman" w:hAnsi="Times New Roman" w:cs="Times New Roman"/>
          <w:noProof/>
          <w:sz w:val="24"/>
          <w:szCs w:val="24"/>
        </w:rPr>
        <w:t>ularities. Where there is a national strategy or an industry strategy, the FPs can be recruited to this cause. The openness of the FPs to strategic ideas means that where there are powerful lobby groups, their ideas are likely to be adopted, and the vehicl</w:t>
      </w:r>
      <w:r>
        <w:rPr>
          <w:rFonts w:ascii="Times New Roman" w:hAnsi="Times New Roman" w:cs="Times New Roman"/>
          <w:noProof/>
          <w:sz w:val="24"/>
          <w:szCs w:val="24"/>
        </w:rPr>
        <w:t xml:space="preserve">es industry example shows that this can have very positive industrial effects.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FPs have tended (with varying degrees of success) to conserve existing strong industrial structures (vehicles) and even to build on success (telecommunications) they</w:t>
      </w:r>
      <w:r>
        <w:rPr>
          <w:rFonts w:ascii="Times New Roman" w:hAnsi="Times New Roman" w:cs="Times New Roman"/>
          <w:noProof/>
          <w:sz w:val="24"/>
          <w:szCs w:val="24"/>
        </w:rPr>
        <w:t xml:space="preserve"> have had no visible industrial effects in the science-based life sciences and health industries. For example, they have not significantly been able to encourage the needed industrial risk-taking in sustainable energy</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showed that the effect of t</w:t>
      </w:r>
      <w:r>
        <w:rPr>
          <w:rFonts w:ascii="Times New Roman" w:hAnsi="Times New Roman" w:cs="Times New Roman"/>
          <w:noProof/>
          <w:sz w:val="24"/>
          <w:szCs w:val="24"/>
        </w:rPr>
        <w:t>he FPs in the universities is – with some modest exceptions – to magnify national efforts and strategies. In the absence of such strategies (formal or de facto), it is hard for the FPs to add value in their present form. European-level, redistributive inst</w:t>
      </w:r>
      <w:r>
        <w:rPr>
          <w:rFonts w:ascii="Times New Roman" w:hAnsi="Times New Roman" w:cs="Times New Roman"/>
          <w:noProof/>
          <w:sz w:val="24"/>
          <w:szCs w:val="24"/>
        </w:rPr>
        <w:t>ruments such as centres of excellence and competence centres would probably be needed in order to overcome such national constraints on the FPs’ mission to restructure research within the ERA.</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rPr>
          <w:rFonts w:ascii="Times New Roman" w:hAnsi="Times New Roman" w:cs="Times New Roman"/>
          <w:i/>
          <w:noProof/>
          <w:sz w:val="24"/>
          <w:szCs w:val="24"/>
        </w:rPr>
      </w:pPr>
      <w:r>
        <w:rPr>
          <w:rFonts w:ascii="Times New Roman" w:hAnsi="Times New Roman" w:cs="Times New Roman"/>
          <w:i/>
          <w:noProof/>
          <w:sz w:val="24"/>
          <w:szCs w:val="24"/>
        </w:rPr>
        <w:br w:type="page"/>
      </w:r>
    </w:p>
    <w:p w:rsidR="00E535A0" w:rsidRDefault="00C953F5">
      <w:pPr>
        <w:autoSpaceDE w:val="0"/>
        <w:autoSpaceDN w:val="0"/>
        <w:adjustRightInd w:val="0"/>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From the Swedish perspective, the most urgent policy implica</w:t>
      </w:r>
      <w:r>
        <w:rPr>
          <w:rFonts w:ascii="Times New Roman" w:hAnsi="Times New Roman" w:cs="Times New Roman"/>
          <w:i/>
          <w:noProof/>
          <w:sz w:val="24"/>
          <w:szCs w:val="24"/>
        </w:rPr>
        <w:t xml:space="preserve">tions are: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An acute need to develop strategies for thematic and institutional concentration in the ERA</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need to communicate about strategy and needs to the Commission and with the research and industrial communities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requirement to support increa</w:t>
      </w:r>
      <w:r>
        <w:rPr>
          <w:rFonts w:ascii="Times New Roman" w:hAnsi="Times New Roman" w:cs="Times New Roman"/>
          <w:noProof/>
          <w:sz w:val="24"/>
          <w:szCs w:val="24"/>
        </w:rPr>
        <w:t>sed Swedish participation in the Technology Platforms and other new structures such as the JTIs – not least because it is not clear that the FPs will continue in their present form</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need to maintain a fully independent set of national strategies and pro</w:t>
      </w:r>
      <w:r>
        <w:rPr>
          <w:rFonts w:ascii="Times New Roman" w:hAnsi="Times New Roman" w:cs="Times New Roman"/>
          <w:noProof/>
          <w:sz w:val="24"/>
          <w:szCs w:val="24"/>
        </w:rPr>
        <w:t>grammes tuned to national needs but more deliberately to consider how to use the complementary resources available from the FPs. A slavish reproduction of the FP priorities is in the interests neither of Sweden nor of Europe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need to find policy mechani</w:t>
      </w:r>
      <w:r>
        <w:rPr>
          <w:rFonts w:ascii="Times New Roman" w:hAnsi="Times New Roman" w:cs="Times New Roman"/>
          <w:noProof/>
          <w:sz w:val="24"/>
          <w:szCs w:val="24"/>
        </w:rPr>
        <w:t>sms that can compensate or substitute for the Framework Programme’s weakness as an instrument to tackle fragmented SME- and technology-based industries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 need for new mechanisms that can go beyond R&amp;D support to tackle some of the key innovation risks in</w:t>
      </w:r>
      <w:r>
        <w:rPr>
          <w:rFonts w:ascii="Times New Roman" w:hAnsi="Times New Roman" w:cs="Times New Roman"/>
          <w:noProof/>
          <w:sz w:val="24"/>
          <w:szCs w:val="24"/>
        </w:rPr>
        <w:t xml:space="preserve"> radical technological change in areas like energy and climate change, where there is not necessarily time available to wait for a market solution to emerge but where risk-sharing between equipment supply and major users is a requirement for transition.</w:t>
      </w:r>
    </w:p>
    <w:p w:rsidR="00E535A0" w:rsidRDefault="00E535A0">
      <w:pPr>
        <w:autoSpaceDE w:val="0"/>
        <w:autoSpaceDN w:val="0"/>
        <w:adjustRightInd w:val="0"/>
        <w:spacing w:after="0" w:line="240" w:lineRule="auto"/>
        <w:jc w:val="both"/>
        <w:rPr>
          <w:rFonts w:ascii="Times New Roman" w:hAnsi="Times New Roman" w:cs="Times New Roman"/>
          <w:b/>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w:t>
      </w:r>
      <w:r>
        <w:rPr>
          <w:rFonts w:ascii="Times New Roman" w:hAnsi="Times New Roman" w:cs="Times New Roman"/>
          <w:b/>
          <w:noProof/>
          <w:sz w:val="24"/>
          <w:szCs w:val="24"/>
        </w:rPr>
        <w:t>. Impacts of the FP participation on Austria</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Researchers generally consider national programmes, such as the FFG General Programmes, FWF support or fiscal support, more relevant to their needs than European programmes. Of the European programmes collaborat</w:t>
      </w:r>
      <w:r>
        <w:rPr>
          <w:rFonts w:ascii="Times New Roman" w:hAnsi="Times New Roman" w:cs="Times New Roman"/>
          <w:noProof/>
          <w:sz w:val="24"/>
          <w:szCs w:val="24"/>
        </w:rPr>
        <w:t xml:space="preserve">ive FP projects were considered the most relevant. The newer FP instruments such as JTIs and ERA-NETs barely figure on the agendas of even the most experienced FP participants.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Researchers participate in the FP primarily to get research funding. The FP is very complex, with high administrative barriers and low success rates. However, if researchers want to obtain public funding for international research projects there are few al</w:t>
      </w:r>
      <w:r>
        <w:rPr>
          <w:rFonts w:ascii="Times New Roman" w:hAnsi="Times New Roman" w:cs="Times New Roman"/>
          <w:noProof/>
          <w:sz w:val="24"/>
          <w:szCs w:val="24"/>
        </w:rPr>
        <w:t xml:space="preserve">ternatives. Further, the FP is by far the most important programme that funds international cooperative research.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Participants consider follow-up projects the most important result of FP projects, though these need not necessarily be FP projects or even </w:t>
      </w:r>
      <w:r>
        <w:rPr>
          <w:rFonts w:ascii="Times New Roman" w:hAnsi="Times New Roman" w:cs="Times New Roman"/>
          <w:noProof/>
          <w:sz w:val="24"/>
          <w:szCs w:val="24"/>
        </w:rPr>
        <w:t xml:space="preserve">be tied to a funding programme. They consider research outputs more important than innovation outputs. This is because the FP is a pre-competitive programme in which universities and research institutes are the major players.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most important impact of</w:t>
      </w:r>
      <w:r>
        <w:rPr>
          <w:rFonts w:ascii="Times New Roman" w:hAnsi="Times New Roman" w:cs="Times New Roman"/>
          <w:noProof/>
          <w:sz w:val="24"/>
          <w:szCs w:val="24"/>
        </w:rPr>
        <w:t xml:space="preserve"> the FP are new and improved relationships, R&amp;D collaborations, and the building and maintaining of research partnerships. Other important impacts are enhanced reputation, increased scientific and technological capabilities and the capacity to conduct R&amp;D.</w:t>
      </w:r>
      <w:r>
        <w:rPr>
          <w:rFonts w:ascii="Times New Roman" w:hAnsi="Times New Roman" w:cs="Times New Roman"/>
          <w:noProof/>
          <w:sz w:val="24"/>
          <w:szCs w:val="24"/>
        </w:rPr>
        <w:t xml:space="preserv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Radical innovations are not an important impact of FP projects. In fact, most participants felt that the FP </w:t>
      </w:r>
      <w:r>
        <w:rPr>
          <w:rFonts w:ascii="Times New Roman" w:hAnsi="Times New Roman" w:cs="Times New Roman"/>
          <w:i/>
          <w:iCs/>
          <w:noProof/>
          <w:sz w:val="24"/>
          <w:szCs w:val="24"/>
        </w:rPr>
        <w:t xml:space="preserve">could </w:t>
      </w:r>
      <w:r>
        <w:rPr>
          <w:rFonts w:ascii="Times New Roman" w:hAnsi="Times New Roman" w:cs="Times New Roman"/>
          <w:noProof/>
          <w:sz w:val="24"/>
          <w:szCs w:val="24"/>
        </w:rPr>
        <w:t xml:space="preserve">not systematically produce radical innovations due to programme design and the selection procedure employed.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International research colla</w:t>
      </w:r>
      <w:r>
        <w:rPr>
          <w:rFonts w:ascii="Times New Roman" w:hAnsi="Times New Roman" w:cs="Times New Roman"/>
          <w:noProof/>
          <w:sz w:val="24"/>
          <w:szCs w:val="24"/>
        </w:rPr>
        <w:t xml:space="preserve">boration has become an everyday occurrence. The control group shows that a substantial amount of international R&amp;D cooperation takes place outside international R&amp;D programmes, mainly funded from own sources. However, the FP remains the most significant </w:t>
      </w:r>
      <w:r>
        <w:rPr>
          <w:rFonts w:ascii="Times New Roman" w:hAnsi="Times New Roman" w:cs="Times New Roman"/>
          <w:i/>
          <w:iCs/>
          <w:noProof/>
          <w:sz w:val="24"/>
          <w:szCs w:val="24"/>
        </w:rPr>
        <w:t>pu</w:t>
      </w:r>
      <w:r>
        <w:rPr>
          <w:rFonts w:ascii="Times New Roman" w:hAnsi="Times New Roman" w:cs="Times New Roman"/>
          <w:i/>
          <w:iCs/>
          <w:noProof/>
          <w:sz w:val="24"/>
          <w:szCs w:val="24"/>
        </w:rPr>
        <w:t xml:space="preserve">blic </w:t>
      </w:r>
      <w:r>
        <w:rPr>
          <w:rFonts w:ascii="Times New Roman" w:hAnsi="Times New Roman" w:cs="Times New Roman"/>
          <w:noProof/>
          <w:sz w:val="24"/>
          <w:szCs w:val="24"/>
        </w:rPr>
        <w:t>funding source for this type of activity. Researchers participate because it suits the needs of themselves or their organisation– not for idealistic reasons. It is important to note that training of young researchers not only occurs in the human resou</w:t>
      </w:r>
      <w:r>
        <w:rPr>
          <w:rFonts w:ascii="Times New Roman" w:hAnsi="Times New Roman" w:cs="Times New Roman"/>
          <w:noProof/>
          <w:sz w:val="24"/>
          <w:szCs w:val="24"/>
        </w:rPr>
        <w:t xml:space="preserve">rces oriented measures (People Programme and ERC Starting Grant) but also in the „traditional‟ cooperative FP projects.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Almost two thirds of Austrian FP users reported that the benefits of participation outweighed the costs. Interestingly, researchers fr</w:t>
      </w:r>
      <w:r>
        <w:rPr>
          <w:rFonts w:ascii="Times New Roman" w:hAnsi="Times New Roman" w:cs="Times New Roman"/>
          <w:noProof/>
          <w:sz w:val="24"/>
          <w:szCs w:val="24"/>
        </w:rPr>
        <w:t xml:space="preserve">om different types of organisations (universities, institutes, companies) gauged the costs and benefits in similar ways. This is also true for SMEs, suggesting that Austrian SMEs know how to position themselves in the FP.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analysis implies the need </w:t>
      </w:r>
      <w:r>
        <w:rPr>
          <w:rFonts w:ascii="Times New Roman" w:hAnsi="Times New Roman" w:cs="Times New Roman"/>
          <w:i/>
          <w:noProof/>
          <w:sz w:val="24"/>
          <w:szCs w:val="24"/>
        </w:rPr>
        <w:t>for three significant changes in strategic direction for Austrian research and innovation policy:</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Rejecting the idea of FP participation as a goal in itself and therefore abandoning the goal of maximising participation </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Mainstreaming internationalisa</w:t>
      </w:r>
      <w:r>
        <w:rPr>
          <w:rFonts w:ascii="Times New Roman" w:eastAsia="Times New Roman" w:hAnsi="Times New Roman" w:cs="Times New Roman"/>
          <w:noProof/>
          <w:sz w:val="24"/>
          <w:szCs w:val="24"/>
        </w:rPr>
        <w:t xml:space="preserve">tion in research and innovation policy and re-conceiving it as „globalisation‟ rather than just „Europeanisation‟ </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Unlocking and adapting the internationalisation support apparatus to focus on promoting behavioural additionality: that is, learning how to</w:t>
      </w:r>
      <w:r>
        <w:rPr>
          <w:rFonts w:ascii="Times New Roman" w:eastAsia="Times New Roman" w:hAnsi="Times New Roman" w:cs="Times New Roman"/>
          <w:noProof/>
          <w:sz w:val="24"/>
          <w:szCs w:val="24"/>
        </w:rPr>
        <w:t xml:space="preserve"> understand and participate in new international activities, rather than subsidising the continued performance of activities that have (or should have) been learnt or that should be taken over by other actors. </w:t>
      </w: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 Impacts of the FP participation on Denmark</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findings are that most of the outputs sought and produced through FP projects are research outputs (publications, conferences, trained personnel, etc.), and there is far less activity in relation to innovation outputs such as new products, patent</w:t>
      </w:r>
      <w:r>
        <w:rPr>
          <w:rFonts w:ascii="Times New Roman" w:hAnsi="Times New Roman" w:cs="Times New Roman"/>
          <w:noProof/>
          <w:sz w:val="24"/>
          <w:szCs w:val="24"/>
        </w:rPr>
        <w:t xml:space="preserve">s, licenses and so on. This is to be expected given the pre-competitive nature of the research carried out within the FPs.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notable, however, that a significant proportion of participants do rate innovation outputs as important but the projects appe</w:t>
      </w:r>
      <w:r>
        <w:rPr>
          <w:rFonts w:ascii="Times New Roman" w:hAnsi="Times New Roman" w:cs="Times New Roman"/>
          <w:noProof/>
          <w:sz w:val="24"/>
          <w:szCs w:val="24"/>
        </w:rPr>
        <w:t>ar far more likely to deliver them at a level below expectations, while the research outputs are generally delivered in line with or above expectations. With regards to the benefits of participation, a comparison of the motives and goals of the participant</w:t>
      </w:r>
      <w:r>
        <w:rPr>
          <w:rFonts w:ascii="Times New Roman" w:hAnsi="Times New Roman" w:cs="Times New Roman"/>
          <w:noProof/>
          <w:sz w:val="24"/>
          <w:szCs w:val="24"/>
        </w:rPr>
        <w:t>s with the benefits actually realised indicates that FP projects do tend to deliver the kinds of impacts that the participants are seeking.</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main positive benefits realised include new relationships and networks, increased understanding and knowledge, </w:t>
      </w:r>
      <w:r>
        <w:rPr>
          <w:rFonts w:ascii="Times New Roman" w:hAnsi="Times New Roman" w:cs="Times New Roman"/>
          <w:noProof/>
          <w:sz w:val="24"/>
          <w:szCs w:val="24"/>
        </w:rPr>
        <w:t xml:space="preserve">increased scientific and technological capabilities, and enhanced reputation and image. The vast majority of participants report medium-high impacts in each of these areas.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of the major impacts of the FPs has been to increase the level of collaborati</w:t>
      </w:r>
      <w:r>
        <w:rPr>
          <w:rFonts w:ascii="Times New Roman" w:hAnsi="Times New Roman" w:cs="Times New Roman"/>
          <w:noProof/>
          <w:sz w:val="24"/>
          <w:szCs w:val="24"/>
        </w:rPr>
        <w:t>on and networking between scientists and technologists at an EU-level, and based on our analyses we have estimated that during FP6 Danish participants were exposed to some 10,000 new partners, almost half of which are expected to endure in the future. This</w:t>
      </w:r>
      <w:r>
        <w:rPr>
          <w:rFonts w:ascii="Times New Roman" w:hAnsi="Times New Roman" w:cs="Times New Roman"/>
          <w:noProof/>
          <w:sz w:val="24"/>
          <w:szCs w:val="24"/>
        </w:rPr>
        <w:t xml:space="preserve"> level of networking and partnership formation simply could not be achieved in the absence of FPs.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shows that more than two-thirds (68 per cent) of Danish FP6/7 participants have realised a positive benefit to cost ratio, with the reminder split between those who stated that the costs and benefits were evenly balanced, and those who stated tha</w:t>
      </w:r>
      <w:r>
        <w:rPr>
          <w:rFonts w:ascii="Times New Roman" w:hAnsi="Times New Roman" w:cs="Times New Roman"/>
          <w:noProof/>
          <w:sz w:val="24"/>
          <w:szCs w:val="24"/>
        </w:rPr>
        <w:t xml:space="preserve">t the costs of participation had outweighed the benefits.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Those reporting a </w:t>
      </w:r>
      <w:r>
        <w:rPr>
          <w:rFonts w:ascii="Times New Roman" w:eastAsia="TimesNewRomanPS-ItalicMT" w:hAnsi="Times New Roman" w:cs="Times New Roman"/>
          <w:i/>
          <w:iCs/>
          <w:noProof/>
          <w:sz w:val="24"/>
          <w:szCs w:val="24"/>
        </w:rPr>
        <w:t xml:space="preserve">negative </w:t>
      </w:r>
      <w:r>
        <w:rPr>
          <w:rFonts w:ascii="Times New Roman" w:hAnsi="Times New Roman" w:cs="Times New Roman"/>
          <w:noProof/>
          <w:sz w:val="24"/>
          <w:szCs w:val="24"/>
        </w:rPr>
        <w:t>benefit to cost ratio pointed to problems associated with the high levels of administration and bureaucracy involved the limited amount of funding received, difficulties</w:t>
      </w:r>
      <w:r>
        <w:rPr>
          <w:rFonts w:ascii="Times New Roman" w:hAnsi="Times New Roman" w:cs="Times New Roman"/>
          <w:noProof/>
          <w:sz w:val="24"/>
          <w:szCs w:val="24"/>
        </w:rPr>
        <w:t xml:space="preserve"> in securing cofounding to support their participation, and failure to achieve the scientific objectives of the projects.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identified in relation to the execution of FP projects concerned the very high administrative and reporting burden that fall</w:t>
      </w:r>
      <w:r>
        <w:rPr>
          <w:rFonts w:ascii="Times New Roman" w:hAnsi="Times New Roman" w:cs="Times New Roman"/>
          <w:noProof/>
          <w:sz w:val="24"/>
          <w:szCs w:val="24"/>
        </w:rPr>
        <w:t>s particularly on project coordinators.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is, however, a potential issue with regard to the level of support available for SMEs during the projects. It is not clear that SMEs enjoy the same level of support as their university counterparts, and while </w:t>
      </w:r>
      <w:r>
        <w:rPr>
          <w:rFonts w:ascii="Times New Roman" w:hAnsi="Times New Roman" w:cs="Times New Roman"/>
          <w:noProof/>
          <w:sz w:val="24"/>
          <w:szCs w:val="24"/>
        </w:rPr>
        <w:t>the EuroCenter is very good at encouraging participation and helping to explain how the whole process works, it is not clear that it is able to provide the same level of support to SMEs as can be assigned by the universities to their own researchers. Danis</w:t>
      </w:r>
      <w:r>
        <w:rPr>
          <w:rFonts w:ascii="Times New Roman" w:hAnsi="Times New Roman" w:cs="Times New Roman"/>
          <w:noProof/>
          <w:sz w:val="24"/>
          <w:szCs w:val="24"/>
        </w:rPr>
        <w:t>h industry participation rates are in line with the FP averages as a</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whole, but companies receive a far lower share of the funding than might be expected, given their level of participation.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recommends among others that efforts are made to deve</w:t>
      </w:r>
      <w:r>
        <w:rPr>
          <w:rFonts w:ascii="Times New Roman" w:hAnsi="Times New Roman" w:cs="Times New Roman"/>
          <w:noProof/>
          <w:sz w:val="24"/>
          <w:szCs w:val="24"/>
        </w:rPr>
        <w:t>lop a stronger mapping of Danish research strengths in both the public and private spheres, in order to (i) improve understanding of areas where Danish FP participation can be strengthened, (ii) improve partner-matching services, both within Denmark and ac</w:t>
      </w:r>
      <w:r>
        <w:rPr>
          <w:rFonts w:ascii="Times New Roman" w:hAnsi="Times New Roman" w:cs="Times New Roman"/>
          <w:noProof/>
          <w:sz w:val="24"/>
          <w:szCs w:val="24"/>
        </w:rPr>
        <w:t>ross the EU, and (iii) improve promotion of Danish research capabilities.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4. Impacts of the FP participation on the Czech Republic</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international comparison shows that the CZ is consistently among the five member states with the lowest participation in </w:t>
      </w:r>
      <w:r>
        <w:rPr>
          <w:rFonts w:ascii="Times New Roman" w:hAnsi="Times New Roman" w:cs="Times New Roman"/>
          <w:noProof/>
          <w:sz w:val="24"/>
          <w:szCs w:val="24"/>
        </w:rPr>
        <w:t xml:space="preserve">FP7. The CZ’s low rate of participation is partly caused by the fact that in the long term, Czech teams have been involved in preparations of significantly fewer project proposals (in international comparison) than what the size of the Czech population or </w:t>
      </w:r>
      <w:r>
        <w:rPr>
          <w:rFonts w:ascii="Times New Roman" w:hAnsi="Times New Roman" w:cs="Times New Roman"/>
          <w:noProof/>
          <w:sz w:val="24"/>
          <w:szCs w:val="24"/>
        </w:rPr>
        <w:t xml:space="preserve">the capacity of the Czech research and development system would suggest.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an important role is also played by the success rate of submitted proposals. The CZ’s participatory success rate has reached 19.5%, which was lower that the success rate of</w:t>
      </w:r>
      <w:r>
        <w:rPr>
          <w:rFonts w:ascii="Times New Roman" w:hAnsi="Times New Roman" w:cs="Times New Roman"/>
          <w:noProof/>
          <w:sz w:val="24"/>
          <w:szCs w:val="24"/>
        </w:rPr>
        <w:t xml:space="preserve"> the old member states (21%) but higher than that of the new member states (17.7%). The differences are even greater if we are to consider financial success rates. Analyses suggest that the CZ’s financial success rate has been significantly degraded by tea</w:t>
      </w:r>
      <w:r>
        <w:rPr>
          <w:rFonts w:ascii="Times New Roman" w:hAnsi="Times New Roman" w:cs="Times New Roman"/>
          <w:noProof/>
          <w:sz w:val="24"/>
          <w:szCs w:val="24"/>
        </w:rPr>
        <w:t>ms that worked as project coordinators.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Czech teams cooperated with more then 14 000 foreign teams during FP7. This means that FP7 provided Czech institutions with an unprecedented opportunity to develop international cooperation in research and developme</w:t>
      </w:r>
      <w:r>
        <w:rPr>
          <w:rFonts w:ascii="Times New Roman" w:hAnsi="Times New Roman" w:cs="Times New Roman"/>
          <w:noProof/>
          <w:sz w:val="24"/>
          <w:szCs w:val="24"/>
        </w:rPr>
        <w:t>nt. Almost 700 Czech teams have been given a chance to collaborate with teams from the most important European scientific and research institutions on FP7 projects. The report provides evidence that Czech teams have made more use of this opportunity than t</w:t>
      </w:r>
      <w:r>
        <w:rPr>
          <w:rFonts w:ascii="Times New Roman" w:hAnsi="Times New Roman" w:cs="Times New Roman"/>
          <w:noProof/>
          <w:sz w:val="24"/>
          <w:szCs w:val="24"/>
        </w:rPr>
        <w:t>eams from the other new member states.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The most common participants in FP7 are teams from universities. However, in the case of the CZ, participants from private enterprises and organisations are almost as numerous as Czech university teams, and the priva</w:t>
      </w:r>
      <w:r>
        <w:rPr>
          <w:rFonts w:ascii="Times New Roman" w:hAnsi="Times New Roman" w:cs="Times New Roman"/>
          <w:bCs/>
          <w:iCs/>
          <w:noProof/>
          <w:sz w:val="24"/>
          <w:szCs w:val="24"/>
        </w:rPr>
        <w:t xml:space="preserve">te teams expend significantly greater amounts for their participation than do the university teams. </w:t>
      </w:r>
    </w:p>
    <w:p w:rsidR="00E535A0" w:rsidRDefault="00E535A0">
      <w:pPr>
        <w:autoSpaceDE w:val="0"/>
        <w:autoSpaceDN w:val="0"/>
        <w:adjustRightInd w:val="0"/>
        <w:spacing w:after="0" w:line="240" w:lineRule="auto"/>
        <w:jc w:val="both"/>
        <w:rPr>
          <w:rFonts w:ascii="Times New Roman" w:hAnsi="Times New Roman" w:cs="Times New Roman"/>
          <w:bCs/>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FP7 enabled Czech teams to cooperate with the most important European research institutions. The ten institutions that received the highest amount of cont</w:t>
      </w:r>
      <w:r>
        <w:rPr>
          <w:rFonts w:ascii="Times New Roman" w:hAnsi="Times New Roman" w:cs="Times New Roman"/>
          <w:bCs/>
          <w:iCs/>
          <w:noProof/>
          <w:sz w:val="24"/>
          <w:szCs w:val="24"/>
        </w:rPr>
        <w:t xml:space="preserve">ributions from the FP budget, aka TOP10, are undoubtedly among the most prestigious European R&amp;D institutions. Cooperation with the TOP10 significantly increases participatory success rates of all EU-28 states. </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5. Impacts of the FP participation on the U</w:t>
      </w:r>
      <w:r>
        <w:rPr>
          <w:rFonts w:ascii="Times New Roman" w:hAnsi="Times New Roman" w:cs="Times New Roman"/>
          <w:b/>
          <w:iCs/>
          <w:noProof/>
          <w:sz w:val="24"/>
          <w:szCs w:val="24"/>
        </w:rPr>
        <w:t>K</w:t>
      </w: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Impacts on research</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FP has had a big impact on the nature and extent of UK researchers’ international relationships and networks, as well as on their knowledge base and scientific capabilities. Other notable outcomes include increased scientific repu</w:t>
      </w:r>
      <w:r>
        <w:rPr>
          <w:rFonts w:ascii="Times New Roman" w:hAnsi="Times New Roman" w:cs="Times New Roman"/>
          <w:noProof/>
          <w:sz w:val="24"/>
          <w:szCs w:val="24"/>
        </w:rPr>
        <w:t>tation, an improved ability to attract and retain worldclass researchers and a positive impact on researcher careers. Lastly, FP has had a positive impact on the attitudes, outlook and connectedness of individual researchers, as well as serving as a traini</w:t>
      </w:r>
      <w:r>
        <w:rPr>
          <w:rFonts w:ascii="Times New Roman" w:hAnsi="Times New Roman" w:cs="Times New Roman"/>
          <w:noProof/>
          <w:sz w:val="24"/>
          <w:szCs w:val="24"/>
        </w:rPr>
        <w:t>ng ground for project management and administration.</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Impacts on business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FP has yielded important commercial benefits. UK business participants had made or gained access to new or significantly improved tools or methodologies and other forms of intell</w:t>
      </w:r>
      <w:r>
        <w:rPr>
          <w:rFonts w:ascii="Times New Roman" w:hAnsi="Times New Roman" w:cs="Times New Roman"/>
          <w:noProof/>
          <w:sz w:val="24"/>
          <w:szCs w:val="24"/>
        </w:rPr>
        <w:t>ectual property. Participation had contributed to the development of new products and processes and increased income and market share.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Framework would appear to have been of especial importance to UK intermediaries, private laboratories and technology </w:t>
      </w:r>
      <w:r>
        <w:rPr>
          <w:rFonts w:ascii="Times New Roman" w:hAnsi="Times New Roman" w:cs="Times New Roman"/>
          <w:noProof/>
          <w:sz w:val="24"/>
          <w:szCs w:val="24"/>
        </w:rPr>
        <w:t>consultancies. One might reasonably expect these ‘knowledge carriers’ to be sharing the benefits of FP-derived know how and methods with their clients. Lastly, company interviews suggested that FP participation had made a significant contribution to the co</w:t>
      </w:r>
      <w:r>
        <w:rPr>
          <w:rFonts w:ascii="Times New Roman" w:hAnsi="Times New Roman" w:cs="Times New Roman"/>
          <w:noProof/>
          <w:sz w:val="24"/>
          <w:szCs w:val="24"/>
        </w:rPr>
        <w:t>mpetitiveness of leading players in several niche technology markets, from inkjets to photonics.</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Impacts on policy</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scant evidence of specific impacts on UK policy, however UK government departments and agencies have benefited from the FP in vario</w:t>
      </w:r>
      <w:r>
        <w:rPr>
          <w:rFonts w:ascii="Times New Roman" w:hAnsi="Times New Roman" w:cs="Times New Roman"/>
          <w:noProof/>
          <w:sz w:val="24"/>
          <w:szCs w:val="24"/>
        </w:rPr>
        <w:t>us ways, but in particular from:</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Stronger relationships with their counterparts around Europe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An increase in the volume of research funded in some areas of policy interest</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An increase in awareness regarding overseas colleagues’ priorities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An abili</w:t>
      </w:r>
      <w:r>
        <w:rPr>
          <w:rFonts w:ascii="Times New Roman" w:hAnsi="Times New Roman" w:cs="Times New Roman"/>
          <w:noProof/>
          <w:sz w:val="24"/>
          <w:szCs w:val="24"/>
        </w:rPr>
        <w:t>ty to more readily address questions one might struggle to progress nationally</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Impacts on international relationships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FP has had a large, positive impact on UK researchers ability to work successfully with universities or businesses outside the UK, ho</w:t>
      </w:r>
      <w:r>
        <w:rPr>
          <w:rFonts w:ascii="Times New Roman" w:hAnsi="Times New Roman" w:cs="Times New Roman"/>
          <w:noProof/>
          <w:sz w:val="24"/>
          <w:szCs w:val="24"/>
        </w:rPr>
        <w:t>wever knowledge exchange might not be as strong as the statistics suggest, with a tendency for work to be conducted in a somewhat fragmented fashion as largely discrete, smaller projects.</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Impacts and instruments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study was unable to establish a line be</w:t>
      </w:r>
      <w:r>
        <w:rPr>
          <w:rFonts w:ascii="Times New Roman" w:hAnsi="Times New Roman" w:cs="Times New Roman"/>
          <w:noProof/>
          <w:sz w:val="24"/>
          <w:szCs w:val="24"/>
        </w:rPr>
        <w:t>tween particular FP instruments and the scale of their respective impacts. Participants and stakeholders did express strong preferences for particular instruments, although this tended to reflect ‘fitness for purpose’ and administrative efficiency to a muc</w:t>
      </w:r>
      <w:r>
        <w:rPr>
          <w:rFonts w:ascii="Times New Roman" w:hAnsi="Times New Roman" w:cs="Times New Roman"/>
          <w:noProof/>
          <w:sz w:val="24"/>
          <w:szCs w:val="24"/>
        </w:rPr>
        <w:t>h greater extent than the fruitfulness of the instrument in question. On balance, it seems that UK stakeholders – officials and participants alike – value two things above all else from amongst the FP’s portfolio of instruments: they like the scale and sco</w:t>
      </w:r>
      <w:r>
        <w:rPr>
          <w:rFonts w:ascii="Times New Roman" w:hAnsi="Times New Roman" w:cs="Times New Roman"/>
          <w:noProof/>
          <w:sz w:val="24"/>
          <w:szCs w:val="24"/>
        </w:rPr>
        <w:t>pe of the work that can be supported through the FP; and they like the growing number of bottom-up instruments.</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Opportunities for change</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biggest challenge would seem to relate to the issue of widening participation outside the areas where UK universities and research institutes have been so successful: life sciences, ERC, Marie Curie, Research Infrastructure. This relates to business en</w:t>
      </w:r>
      <w:r>
        <w:rPr>
          <w:rFonts w:ascii="Times New Roman" w:hAnsi="Times New Roman" w:cs="Times New Roman"/>
          <w:noProof/>
          <w:sz w:val="24"/>
          <w:szCs w:val="24"/>
        </w:rPr>
        <w:t>gagement in particular, with whole swathes of businesses seemingly unaware of or indifferent to FP. Moreover, comparing participation data with income statistics suggests UK businesses have been playing secondary or otherwise less intensive roles than thei</w:t>
      </w:r>
      <w:r>
        <w:rPr>
          <w:rFonts w:ascii="Times New Roman" w:hAnsi="Times New Roman" w:cs="Times New Roman"/>
          <w:noProof/>
          <w:sz w:val="24"/>
          <w:szCs w:val="24"/>
        </w:rPr>
        <w:t xml:space="preserve">r counterparts elsewhere in Europe.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6. Impacts of the FP participation on Slovenia</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Based on availability of data, the following factors, which might affect performance in FP were considered: number of inhabitants, scientific, technological excellence and</w:t>
      </w:r>
      <w:r>
        <w:rPr>
          <w:rFonts w:ascii="Times New Roman" w:hAnsi="Times New Roman" w:cs="Times New Roman"/>
          <w:noProof/>
          <w:sz w:val="24"/>
          <w:szCs w:val="24"/>
        </w:rPr>
        <w:t xml:space="preserve"> innovation of a member state, investments in RD and time of accession to EU. It is evident that the year of accession to EU (“learning effect”) has no effect on FP indicators. However, the R&amp;D expenditure, which highly correlates with RDI excellence, as w</w:t>
      </w:r>
      <w:r>
        <w:rPr>
          <w:rFonts w:ascii="Times New Roman" w:hAnsi="Times New Roman" w:cs="Times New Roman"/>
          <w:noProof/>
          <w:sz w:val="24"/>
          <w:szCs w:val="24"/>
        </w:rPr>
        <w:t>ell as the population in member state account for 92% of differences between Member states in their financial contributions per retained project.</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Recommendations:</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Firstly, performance of member states in FP is strongly related to the investment in RD in a</w:t>
      </w:r>
      <w:r>
        <w:rPr>
          <w:rFonts w:ascii="Times New Roman" w:hAnsi="Times New Roman" w:cs="Times New Roman"/>
          <w:noProof/>
          <w:sz w:val="24"/>
          <w:szCs w:val="24"/>
        </w:rPr>
        <w:t xml:space="preserve"> country. In order to improve their participation, the countries therefore need to invest more.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Secondly, population of a county matters. In case of big countries this is likely due to the existence of internal networks of actors, which collaborate on na</w:t>
      </w:r>
      <w:r>
        <w:rPr>
          <w:rFonts w:ascii="Times New Roman" w:hAnsi="Times New Roman" w:cs="Times New Roman"/>
          <w:noProof/>
          <w:sz w:val="24"/>
          <w:szCs w:val="24"/>
        </w:rPr>
        <w:t xml:space="preserve">tional scale, and continue with the partnerships on EU scale. In fact, a recent survey in ICT area demonstrated that the coordinators choose their research team in 49% from previous collaborations and 27% on the suggestion of other consortium members.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w:t>
      </w:r>
      <w:r>
        <w:rPr>
          <w:rFonts w:ascii="Times New Roman" w:hAnsi="Times New Roman" w:cs="Times New Roman"/>
          <w:noProof/>
          <w:sz w:val="24"/>
          <w:szCs w:val="24"/>
        </w:rPr>
        <w:t xml:space="preserve">is means that for a collaborative research, networking and cooperation skills may be as important as research expertise, which represents a barrier for newcomers from smaller countries who are not well connected to European networks. Of course, little can </w:t>
      </w:r>
      <w:r>
        <w:rPr>
          <w:rFonts w:ascii="Times New Roman" w:hAnsi="Times New Roman" w:cs="Times New Roman"/>
          <w:noProof/>
          <w:sz w:val="24"/>
          <w:szCs w:val="24"/>
        </w:rPr>
        <w:t>be done to increase the size of population of a country in order to offer more possibilities for networking on a national level, but it can virtually grow in size by opening its programmes to collaborations across borders and thus contribute to stronger in</w:t>
      </w:r>
      <w:r>
        <w:rPr>
          <w:rFonts w:ascii="Times New Roman" w:hAnsi="Times New Roman" w:cs="Times New Roman"/>
          <w:noProof/>
          <w:sz w:val="24"/>
          <w:szCs w:val="24"/>
        </w:rPr>
        <w:t>tegration of its research community in ERA. Lastly, measures can be established in Member States, which will stimulate researchers to take leading roles in projects. With this, their visibility, impact as well as financial participation is likely to increa</w:t>
      </w:r>
      <w:r>
        <w:rPr>
          <w:rFonts w:ascii="Times New Roman" w:hAnsi="Times New Roman" w:cs="Times New Roman"/>
          <w:noProof/>
          <w:sz w:val="24"/>
          <w:szCs w:val="24"/>
        </w:rPr>
        <w:t>se.</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7. Impacts of the FP participation on Switzerland</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positive net financial return or financial return coefficient is thanks to the very competitive nature of the Swiss research community. This community boasts internationally top-level players in </w:t>
      </w:r>
      <w:r>
        <w:rPr>
          <w:rFonts w:ascii="Times New Roman" w:hAnsi="Times New Roman" w:cs="Times New Roman"/>
          <w:noProof/>
          <w:sz w:val="24"/>
          <w:szCs w:val="24"/>
        </w:rPr>
        <w:t>many disciplines, who are above average in successfully attracting framework programme funding.</w:t>
      </w:r>
    </w:p>
    <w:p w:rsidR="00E535A0" w:rsidRDefault="00E535A0">
      <w:pPr>
        <w:autoSpaceDE w:val="0"/>
        <w:autoSpaceDN w:val="0"/>
        <w:adjustRightInd w:val="0"/>
        <w:spacing w:after="0" w:line="240" w:lineRule="auto"/>
        <w:jc w:val="both"/>
        <w:rPr>
          <w:rFonts w:ascii="Times New Roman" w:hAnsi="Times New Roman" w:cs="Times New Roman"/>
          <w:b/>
          <w:b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The framework programmes are an important source of funding for research and development (R &amp; D) activities in Switzerland </w:t>
      </w:r>
      <w:r>
        <w:rPr>
          <w:rFonts w:ascii="Times New Roman" w:hAnsi="Times New Roman" w:cs="Times New Roman"/>
          <w:noProof/>
          <w:sz w:val="24"/>
          <w:szCs w:val="24"/>
        </w:rPr>
        <w:t>Overall, participants in FP projects</w:t>
      </w:r>
      <w:r>
        <w:rPr>
          <w:rFonts w:ascii="Times New Roman" w:hAnsi="Times New Roman" w:cs="Times New Roman"/>
          <w:noProof/>
          <w:sz w:val="24"/>
          <w:szCs w:val="24"/>
        </w:rPr>
        <w:t xml:space="preserve"> stated</w:t>
      </w:r>
      <w:r>
        <w:rPr>
          <w:rFonts w:ascii="Times New Roman" w:hAnsi="Times New Roman" w:cs="Times New Roman"/>
          <w:bCs/>
          <w:noProof/>
          <w:sz w:val="24"/>
          <w:szCs w:val="24"/>
        </w:rPr>
        <w:t xml:space="preserve"> </w:t>
      </w:r>
      <w:r>
        <w:rPr>
          <w:rFonts w:ascii="Times New Roman" w:hAnsi="Times New Roman" w:cs="Times New Roman"/>
          <w:noProof/>
          <w:sz w:val="24"/>
          <w:szCs w:val="24"/>
        </w:rPr>
        <w:t>that 62% of these projects would most certainly not have</w:t>
      </w:r>
      <w:r>
        <w:rPr>
          <w:rFonts w:ascii="Times New Roman" w:hAnsi="Times New Roman" w:cs="Times New Roman"/>
          <w:bCs/>
          <w:noProof/>
          <w:sz w:val="24"/>
          <w:szCs w:val="24"/>
        </w:rPr>
        <w:t xml:space="preserve"> </w:t>
      </w:r>
      <w:r>
        <w:rPr>
          <w:rFonts w:ascii="Times New Roman" w:hAnsi="Times New Roman" w:cs="Times New Roman"/>
          <w:noProof/>
          <w:sz w:val="24"/>
          <w:szCs w:val="24"/>
        </w:rPr>
        <w:t>been realised without FP funding.</w:t>
      </w:r>
      <w:r>
        <w:rPr>
          <w:rFonts w:ascii="Times New Roman" w:hAnsi="Times New Roman" w:cs="Times New Roman"/>
          <w:bCs/>
          <w:noProof/>
          <w:sz w:val="24"/>
          <w:szCs w:val="24"/>
        </w:rPr>
        <w:t xml:space="preserve"> Participation in the FPs has a positive impact on the economy and creates jobs. </w:t>
      </w:r>
    </w:p>
    <w:p w:rsidR="00E535A0" w:rsidRDefault="00E535A0">
      <w:pPr>
        <w:autoSpaceDE w:val="0"/>
        <w:autoSpaceDN w:val="0"/>
        <w:adjustRightInd w:val="0"/>
        <w:spacing w:after="0" w:line="240" w:lineRule="auto"/>
        <w:jc w:val="both"/>
        <w:rPr>
          <w:rFonts w:ascii="Times New Roman" w:hAnsi="Times New Roman" w:cs="Times New Roman"/>
          <w:b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Currently available data suggest that each time a Swiss company</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or </w:t>
      </w:r>
      <w:r>
        <w:rPr>
          <w:rFonts w:ascii="Times New Roman" w:hAnsi="Times New Roman" w:cs="Times New Roman"/>
          <w:noProof/>
          <w:sz w:val="24"/>
          <w:szCs w:val="24"/>
        </w:rPr>
        <w:t>institution participates in a framework programme</w:t>
      </w:r>
      <w:r>
        <w:rPr>
          <w:rFonts w:ascii="Times New Roman" w:hAnsi="Times New Roman" w:cs="Times New Roman"/>
          <w:bCs/>
          <w:noProof/>
          <w:sz w:val="24"/>
          <w:szCs w:val="24"/>
        </w:rPr>
        <w:t xml:space="preserve"> </w:t>
      </w:r>
      <w:r>
        <w:rPr>
          <w:rFonts w:ascii="Times New Roman" w:hAnsi="Times New Roman" w:cs="Times New Roman"/>
          <w:noProof/>
          <w:sz w:val="24"/>
          <w:szCs w:val="24"/>
        </w:rPr>
        <w:t>project, this leads to the creation of two jobs on average, although</w:t>
      </w:r>
      <w:r>
        <w:rPr>
          <w:rFonts w:ascii="Times New Roman" w:hAnsi="Times New Roman" w:cs="Times New Roman"/>
          <w:bCs/>
          <w:noProof/>
          <w:sz w:val="24"/>
          <w:szCs w:val="24"/>
        </w:rPr>
        <w:t xml:space="preserve"> </w:t>
      </w:r>
      <w:r>
        <w:rPr>
          <w:rFonts w:ascii="Times New Roman" w:hAnsi="Times New Roman" w:cs="Times New Roman"/>
          <w:noProof/>
          <w:sz w:val="24"/>
          <w:szCs w:val="24"/>
        </w:rPr>
        <w:t>these are temporary in two out of three cases. Jobs</w:t>
      </w:r>
      <w:r>
        <w:rPr>
          <w:rFonts w:ascii="Times New Roman" w:hAnsi="Times New Roman" w:cs="Times New Roman"/>
          <w:bCs/>
          <w:noProof/>
          <w:sz w:val="24"/>
          <w:szCs w:val="24"/>
        </w:rPr>
        <w:t xml:space="preserve"> </w:t>
      </w:r>
      <w:r>
        <w:rPr>
          <w:rFonts w:ascii="Times New Roman" w:hAnsi="Times New Roman" w:cs="Times New Roman"/>
          <w:noProof/>
          <w:sz w:val="24"/>
          <w:szCs w:val="24"/>
        </w:rPr>
        <w:t>are also created indirectly when start-up companies are generated</w:t>
      </w:r>
      <w:r>
        <w:rPr>
          <w:rFonts w:ascii="Times New Roman" w:hAnsi="Times New Roman" w:cs="Times New Roman"/>
          <w:bCs/>
          <w:noProof/>
          <w:sz w:val="24"/>
          <w:szCs w:val="24"/>
        </w:rPr>
        <w:t xml:space="preserve"> </w:t>
      </w:r>
      <w:r>
        <w:rPr>
          <w:rFonts w:ascii="Times New Roman" w:hAnsi="Times New Roman" w:cs="Times New Roman"/>
          <w:noProof/>
          <w:sz w:val="24"/>
          <w:szCs w:val="24"/>
        </w:rPr>
        <w:t>as the result of pa</w:t>
      </w:r>
      <w:r>
        <w:rPr>
          <w:rFonts w:ascii="Times New Roman" w:hAnsi="Times New Roman" w:cs="Times New Roman"/>
          <w:noProof/>
          <w:sz w:val="24"/>
          <w:szCs w:val="24"/>
        </w:rPr>
        <w:t>rticipation in an FP project. There is</w:t>
      </w:r>
      <w:r>
        <w:rPr>
          <w:rFonts w:ascii="Times New Roman" w:hAnsi="Times New Roman" w:cs="Times New Roman"/>
          <w:bCs/>
          <w:noProof/>
          <w:sz w:val="24"/>
          <w:szCs w:val="24"/>
        </w:rPr>
        <w:t xml:space="preserve"> </w:t>
      </w:r>
      <w:r>
        <w:rPr>
          <w:rFonts w:ascii="Times New Roman" w:hAnsi="Times New Roman" w:cs="Times New Roman"/>
          <w:noProof/>
          <w:sz w:val="24"/>
          <w:szCs w:val="24"/>
        </w:rPr>
        <w:t>also an economic benefit from project participation when this</w:t>
      </w:r>
      <w:r>
        <w:rPr>
          <w:rFonts w:ascii="Times New Roman" w:hAnsi="Times New Roman" w:cs="Times New Roman"/>
          <w:bCs/>
          <w:noProof/>
          <w:sz w:val="24"/>
          <w:szCs w:val="24"/>
        </w:rPr>
        <w:t xml:space="preserve"> </w:t>
      </w:r>
      <w:r>
        <w:rPr>
          <w:rFonts w:ascii="Times New Roman" w:hAnsi="Times New Roman" w:cs="Times New Roman"/>
          <w:noProof/>
          <w:sz w:val="24"/>
          <w:szCs w:val="24"/>
        </w:rPr>
        <w:t>leads to new patents and other forms of intellectual property</w:t>
      </w:r>
      <w:r>
        <w:rPr>
          <w:rFonts w:ascii="Times New Roman" w:hAnsi="Times New Roman" w:cs="Times New Roman"/>
          <w:bCs/>
          <w:noProof/>
          <w:sz w:val="24"/>
          <w:szCs w:val="24"/>
        </w:rPr>
        <w:t xml:space="preserve"> </w:t>
      </w:r>
      <w:r>
        <w:rPr>
          <w:rFonts w:ascii="Times New Roman" w:hAnsi="Times New Roman" w:cs="Times New Roman"/>
          <w:noProof/>
          <w:sz w:val="24"/>
          <w:szCs w:val="24"/>
        </w:rPr>
        <w:t>(e.g. copyright, trademark registration etc.) and frequently as</w:t>
      </w:r>
      <w:r>
        <w:rPr>
          <w:rFonts w:ascii="Times New Roman" w:hAnsi="Times New Roman" w:cs="Times New Roman"/>
          <w:bCs/>
          <w:noProof/>
          <w:sz w:val="24"/>
          <w:szCs w:val="24"/>
        </w:rPr>
        <w:t xml:space="preserve"> </w:t>
      </w:r>
      <w:r>
        <w:rPr>
          <w:rFonts w:ascii="Times New Roman" w:hAnsi="Times New Roman" w:cs="Times New Roman"/>
          <w:noProof/>
          <w:sz w:val="24"/>
          <w:szCs w:val="24"/>
        </w:rPr>
        <w:t>a result of commercialisation</w:t>
      </w:r>
      <w:r>
        <w:rPr>
          <w:rFonts w:ascii="Times New Roman" w:hAnsi="Times New Roman" w:cs="Times New Roman"/>
          <w:noProof/>
          <w:sz w:val="24"/>
          <w:szCs w:val="24"/>
        </w:rPr>
        <w:t>. Furthermore, in many cases</w:t>
      </w:r>
      <w:r>
        <w:rPr>
          <w:rFonts w:ascii="Times New Roman" w:hAnsi="Times New Roman" w:cs="Times New Roman"/>
          <w:bCs/>
          <w:noProof/>
          <w:sz w:val="24"/>
          <w:szCs w:val="24"/>
        </w:rPr>
        <w:t xml:space="preserve"> </w:t>
      </w:r>
      <w:r>
        <w:rPr>
          <w:rFonts w:ascii="Times New Roman" w:hAnsi="Times New Roman" w:cs="Times New Roman"/>
          <w:noProof/>
          <w:sz w:val="24"/>
          <w:szCs w:val="24"/>
        </w:rPr>
        <w:t>companies were able to increase turnover as a result of participating in an FP project.</w:t>
      </w:r>
    </w:p>
    <w:p w:rsidR="00E535A0" w:rsidRDefault="00E535A0">
      <w:pPr>
        <w:autoSpaceDE w:val="0"/>
        <w:autoSpaceDN w:val="0"/>
        <w:adjustRightInd w:val="0"/>
        <w:spacing w:after="0" w:line="240" w:lineRule="auto"/>
        <w:jc w:val="both"/>
        <w:rPr>
          <w:rFonts w:ascii="Times New Roman" w:hAnsi="Times New Roman" w:cs="Times New Roman"/>
          <w:b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 study shows that participation in FPs has an impact on knowledge and skills production. FPs provides access to international R&amp;D and t</w:t>
      </w:r>
      <w:r>
        <w:rPr>
          <w:rFonts w:ascii="Times New Roman" w:hAnsi="Times New Roman" w:cs="Times New Roman"/>
          <w:bCs/>
          <w:noProof/>
          <w:sz w:val="24"/>
          <w:szCs w:val="24"/>
        </w:rPr>
        <w:t>he FPs complement national research funding.</w:t>
      </w:r>
    </w:p>
    <w:p w:rsidR="00E535A0" w:rsidRDefault="00E535A0">
      <w:pPr>
        <w:autoSpaceDE w:val="0"/>
        <w:autoSpaceDN w:val="0"/>
        <w:adjustRightInd w:val="0"/>
        <w:spacing w:after="0" w:line="240" w:lineRule="auto"/>
        <w:jc w:val="both"/>
        <w:rPr>
          <w:rFonts w:ascii="Times New Roman" w:hAnsi="Times New Roman" w:cs="Times New Roman"/>
          <w:bCs/>
          <w:noProof/>
          <w:sz w:val="24"/>
          <w:szCs w:val="24"/>
        </w:rPr>
      </w:pPr>
    </w:p>
    <w:p w:rsidR="00E535A0" w:rsidRDefault="00C953F5">
      <w:pPr>
        <w:rPr>
          <w:rFonts w:ascii="Times New Roman" w:hAnsi="Times New Roman" w:cs="Times New Roman"/>
          <w:b/>
          <w:iCs/>
          <w:noProof/>
          <w:sz w:val="24"/>
          <w:szCs w:val="24"/>
        </w:rPr>
      </w:pPr>
      <w:r>
        <w:rPr>
          <w:rFonts w:ascii="Times New Roman" w:hAnsi="Times New Roman" w:cs="Times New Roman"/>
          <w:b/>
          <w:iCs/>
          <w:noProof/>
          <w:sz w:val="24"/>
          <w:szCs w:val="24"/>
        </w:rPr>
        <w:br w:type="page"/>
      </w:r>
    </w:p>
    <w:p w:rsidR="00E535A0" w:rsidRDefault="00C953F5">
      <w:pPr>
        <w:autoSpaceDE w:val="0"/>
        <w:autoSpaceDN w:val="0"/>
        <w:adjustRightInd w:val="0"/>
        <w:spacing w:after="0"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8. Impacts of the FP participation on Norway</w:t>
      </w: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 xml:space="preserve">Project impacts.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FP6 participants report extensive impact of their projects on their R&amp;D capabilities and activities, and significant long-term effects are fo</w:t>
      </w:r>
      <w:r>
        <w:rPr>
          <w:rFonts w:ascii="Times New Roman" w:hAnsi="Times New Roman" w:cs="Times New Roman"/>
          <w:noProof/>
          <w:sz w:val="24"/>
          <w:szCs w:val="24"/>
        </w:rPr>
        <w:t>und. The EU projects explore new research areas of significant importance for the participants’ future research/innovation activities. A substantial proportion of the projects have had positive effects on research and innovation capabilities, and long-term</w:t>
      </w:r>
      <w:r>
        <w:rPr>
          <w:rFonts w:ascii="Times New Roman" w:hAnsi="Times New Roman" w:cs="Times New Roman"/>
          <w:noProof/>
          <w:sz w:val="24"/>
          <w:szCs w:val="24"/>
        </w:rPr>
        <w:t xml:space="preserve"> cooperation links. The FP6 participants’ research activities are becoming more collaborative, international and organised in larger projects. Moreover, Norwegian researchers participate in more European collaboration also outside the FPs. In other words, </w:t>
      </w:r>
      <w:r>
        <w:rPr>
          <w:rFonts w:ascii="Times New Roman" w:hAnsi="Times New Roman" w:cs="Times New Roman"/>
          <w:noProof/>
          <w:sz w:val="24"/>
          <w:szCs w:val="24"/>
        </w:rPr>
        <w:t xml:space="preserve">the behavioural additionality of participation in the Framework Programme is high. </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 xml:space="preserve">Limited synergies with national priorities. </w:t>
      </w:r>
    </w:p>
    <w:p w:rsidR="00E535A0" w:rsidRDefault="00E535A0">
      <w:pPr>
        <w:autoSpaceDE w:val="0"/>
        <w:autoSpaceDN w:val="0"/>
        <w:adjustRightInd w:val="0"/>
        <w:spacing w:after="0" w:line="240" w:lineRule="auto"/>
        <w:jc w:val="both"/>
        <w:rPr>
          <w:rFonts w:ascii="Times New Roman" w:hAnsi="Times New Roman" w:cs="Times New Roman"/>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data suggest a potential for increasing the alignment of national research with participation in the Framework Programme,</w:t>
      </w:r>
      <w:r>
        <w:rPr>
          <w:rFonts w:ascii="Times New Roman" w:hAnsi="Times New Roman" w:cs="Times New Roman"/>
          <w:noProof/>
          <w:sz w:val="24"/>
          <w:szCs w:val="24"/>
        </w:rPr>
        <w:t xml:space="preserve"> in particular within the thematic priorities of Health and ICT, and also Ideas and People. There are indications of substantial synergies and integration of Norwegian research with the Framework Programme: a high number of Norwegian researchers are involv</w:t>
      </w:r>
      <w:r>
        <w:rPr>
          <w:rFonts w:ascii="Times New Roman" w:hAnsi="Times New Roman" w:cs="Times New Roman"/>
          <w:noProof/>
          <w:sz w:val="24"/>
          <w:szCs w:val="24"/>
        </w:rPr>
        <w:t xml:space="preserve">ed in the Framework Programmes (the FP6 survey alone, accounting for 42 per cent of the Norwegian participations, report 2499 involved researchers). About 18 per cent are PhD students indicating potential for long-term synergies and integration. Moreover, </w:t>
      </w:r>
      <w:r>
        <w:rPr>
          <w:rFonts w:ascii="Times New Roman" w:hAnsi="Times New Roman" w:cs="Times New Roman"/>
          <w:noProof/>
          <w:sz w:val="24"/>
          <w:szCs w:val="24"/>
        </w:rPr>
        <w:t xml:space="preserve">72 per cent of FP7 applicants report that the project was an integrated part of their organisation’s internationalisation strategy. </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 xml:space="preserve">National policy measures. </w:t>
      </w:r>
    </w:p>
    <w:p w:rsidR="00E535A0" w:rsidRDefault="00C953F5">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Norway’s participation in EU research involves a number of organisations and measures. For the </w:t>
      </w:r>
      <w:r>
        <w:rPr>
          <w:rFonts w:ascii="Times New Roman" w:hAnsi="Times New Roman" w:cs="Times New Roman"/>
          <w:noProof/>
          <w:sz w:val="24"/>
          <w:szCs w:val="24"/>
        </w:rPr>
        <w:t>Norwegian research community, two issues are critical for their participation and for this reason need to be improved: better advice on how to combine national R&amp;D funding with FP activities, and more assistance with financial rules and regulations, audits</w:t>
      </w:r>
      <w:r>
        <w:rPr>
          <w:rFonts w:ascii="Times New Roman" w:hAnsi="Times New Roman" w:cs="Times New Roman"/>
          <w:noProof/>
          <w:sz w:val="24"/>
          <w:szCs w:val="24"/>
        </w:rPr>
        <w:t xml:space="preserve"> and financial reporting. </w:t>
      </w:r>
    </w:p>
    <w:p w:rsidR="00E535A0" w:rsidRDefault="00E535A0">
      <w:pPr>
        <w:autoSpaceDE w:val="0"/>
        <w:autoSpaceDN w:val="0"/>
        <w:adjustRightInd w:val="0"/>
        <w:spacing w:after="0" w:line="240" w:lineRule="auto"/>
        <w:jc w:val="both"/>
        <w:rPr>
          <w:rFonts w:ascii="Times New Roman" w:hAnsi="Times New Roman" w:cs="Times New Roman"/>
          <w:i/>
          <w:iCs/>
          <w:noProof/>
          <w:sz w:val="24"/>
          <w:szCs w:val="24"/>
        </w:rPr>
      </w:pPr>
    </w:p>
    <w:p w:rsidR="00E535A0" w:rsidRDefault="00C953F5">
      <w:pPr>
        <w:autoSpaceDE w:val="0"/>
        <w:autoSpaceDN w:val="0"/>
        <w:adjustRightInd w:val="0"/>
        <w:spacing w:after="0" w:line="240" w:lineRule="auto"/>
        <w:jc w:val="both"/>
        <w:rPr>
          <w:rFonts w:ascii="Times New Roman" w:hAnsi="Times New Roman" w:cs="Times New Roman"/>
          <w:noProof/>
          <w:sz w:val="24"/>
          <w:szCs w:val="24"/>
          <w:u w:val="single"/>
        </w:rPr>
      </w:pPr>
      <w:r>
        <w:rPr>
          <w:rFonts w:ascii="Times New Roman" w:hAnsi="Times New Roman" w:cs="Times New Roman"/>
          <w:bCs/>
          <w:i/>
          <w:iCs/>
          <w:noProof/>
          <w:sz w:val="24"/>
          <w:szCs w:val="24"/>
        </w:rPr>
        <w:t>Recommendations</w:t>
      </w:r>
      <w:r>
        <w:rPr>
          <w:rFonts w:ascii="Times New Roman" w:hAnsi="Times New Roman" w:cs="Times New Roman"/>
          <w:bCs/>
          <w:iCs/>
          <w:noProof/>
          <w:sz w:val="24"/>
          <w:szCs w:val="24"/>
          <w:u w:val="single"/>
        </w:rPr>
        <w:t>:</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Internationalisation as a comprehensive national research strategy</w:t>
      </w:r>
    </w:p>
    <w:p w:rsidR="00E535A0" w:rsidRDefault="00C953F5">
      <w:pPr>
        <w:tabs>
          <w:tab w:val="num" w:pos="283"/>
        </w:tabs>
        <w:spacing w:after="240" w:line="240" w:lineRule="auto"/>
        <w:ind w:left="283"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Ease the administrative and economic burdens</w:t>
      </w:r>
    </w:p>
    <w:p w:rsidR="00E535A0" w:rsidRDefault="00C953F5">
      <w:pPr>
        <w:tabs>
          <w:tab w:val="num" w:pos="283"/>
        </w:tabs>
        <w:spacing w:after="240" w:line="240" w:lineRule="auto"/>
        <w:ind w:left="283"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Ensure increased participation of the large enterprises</w:t>
      </w:r>
    </w:p>
    <w:p w:rsidR="00E535A0" w:rsidRDefault="00C953F5">
      <w:pPr>
        <w:tabs>
          <w:tab w:val="num" w:pos="283"/>
        </w:tabs>
        <w:spacing w:after="240" w:line="240" w:lineRule="auto"/>
        <w:ind w:left="283"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Improving conditions and </w:t>
      </w:r>
      <w:r>
        <w:rPr>
          <w:rFonts w:ascii="Times New Roman" w:eastAsia="Times New Roman" w:hAnsi="Times New Roman" w:cs="Times New Roman"/>
          <w:noProof/>
          <w:sz w:val="24"/>
          <w:szCs w:val="24"/>
        </w:rPr>
        <w:t>participation of SMEs – improve dissemination of results</w:t>
      </w:r>
    </w:p>
    <w:p w:rsidR="00E535A0" w:rsidRDefault="00C953F5">
      <w:pPr>
        <w:tabs>
          <w:tab w:val="num" w:pos="283"/>
        </w:tabs>
        <w:spacing w:after="240" w:line="240" w:lineRule="auto"/>
        <w:ind w:left="283"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Transferring the skills of successful participation and experts</w:t>
      </w:r>
    </w:p>
    <w:p w:rsidR="00E535A0" w:rsidRDefault="00E535A0">
      <w:pPr>
        <w:autoSpaceDE w:val="0"/>
        <w:autoSpaceDN w:val="0"/>
        <w:adjustRightInd w:val="0"/>
        <w:spacing w:after="0" w:line="240" w:lineRule="auto"/>
        <w:rPr>
          <w:bCs/>
          <w:noProof/>
          <w:szCs w:val="24"/>
        </w:rPr>
      </w:pPr>
    </w:p>
    <w:p w:rsidR="00E535A0" w:rsidRDefault="00C953F5">
      <w:pPr>
        <w:spacing w:line="240" w:lineRule="auto"/>
        <w:rPr>
          <w:rFonts w:eastAsiaTheme="majorEastAsia"/>
          <w:b/>
          <w:bCs/>
          <w:noProof/>
          <w:sz w:val="28"/>
          <w:szCs w:val="28"/>
        </w:rPr>
      </w:pPr>
      <w:r>
        <w:rPr>
          <w:noProof/>
        </w:rPr>
        <w:br w:type="page"/>
      </w:r>
    </w:p>
    <w:p w:rsidR="00E535A0" w:rsidRDefault="00C953F5">
      <w:pPr>
        <w:pStyle w:val="berschrift1"/>
        <w:rPr>
          <w:noProof/>
          <w:szCs w:val="24"/>
        </w:rPr>
      </w:pPr>
      <w:bookmarkStart w:id="44" w:name="_Toc433998143"/>
      <w:bookmarkStart w:id="45" w:name="_Toc439752813"/>
      <w:r>
        <w:rPr>
          <w:noProof/>
          <w:szCs w:val="24"/>
        </w:rPr>
        <w:t>COST (Co-operation in Science and Technology)</w:t>
      </w:r>
      <w:bookmarkEnd w:id="44"/>
      <w:bookmarkEnd w:id="45"/>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COST is an intergovernmental framework that funds the networking of nationally funde</w:t>
      </w:r>
      <w:r>
        <w:rPr>
          <w:rFonts w:ascii="Times New Roman" w:hAnsi="Times New Roman" w:cs="Times New Roman"/>
          <w:noProof/>
          <w:sz w:val="24"/>
          <w:szCs w:val="24"/>
        </w:rPr>
        <w:t>d research in an intergovernmental structure since 1971. The Commission finances the networking and the operations of the secretariat (COST office) but not the underlying research itself. In FP7 a grant totalling 250 Million € was allocated to the European</w:t>
      </w:r>
      <w:r>
        <w:rPr>
          <w:rFonts w:ascii="Times New Roman" w:hAnsi="Times New Roman" w:cs="Times New Roman"/>
          <w:noProof/>
          <w:sz w:val="24"/>
          <w:szCs w:val="24"/>
        </w:rPr>
        <w:t xml:space="preserve"> Science Foundation (ESF) as the host organisation for the Framework. Evidence for the impact and effectiveness of the Framework has been provided by the final report submitted by ESF (1) FP7 final review (2) and an impact assessment commissioned by ESF to</w:t>
      </w:r>
      <w:r>
        <w:rPr>
          <w:rFonts w:ascii="Times New Roman" w:hAnsi="Times New Roman" w:cs="Times New Roman"/>
          <w:noProof/>
          <w:sz w:val="24"/>
          <w:szCs w:val="24"/>
        </w:rPr>
        <w:t xml:space="preserve"> the Technopolis Group (3).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impact assessment (3) COST was effective on networks and network building, capacity building, structuring and agenda setting and had an overall impact on wider economy and society. The impact on networking is t</w:t>
      </w:r>
      <w:r>
        <w:rPr>
          <w:rFonts w:ascii="Times New Roman" w:hAnsi="Times New Roman" w:cs="Times New Roman"/>
          <w:noProof/>
          <w:sz w:val="24"/>
          <w:szCs w:val="24"/>
        </w:rPr>
        <w:t>o some extend expressed by the sustainability of the actions leading to follow-up funding. E.g. 473 successful follow-up projects in the Framework Programme were initiated and COST participants attracted 22 ERC and 35 ERA-NET grants. In addition COST parti</w:t>
      </w:r>
      <w:r>
        <w:rPr>
          <w:rFonts w:ascii="Times New Roman" w:hAnsi="Times New Roman" w:cs="Times New Roman"/>
          <w:noProof/>
          <w:sz w:val="24"/>
          <w:szCs w:val="24"/>
        </w:rPr>
        <w:t>cipants were successful in other instruments such as Lifelong Learning Programme, Life Programme, the Structural Funds, Artemis, Clean Sky or IMI. Successful capacity building in FP7 e.g. was achieved by 8981 participations in training schools and 5069 sho</w:t>
      </w:r>
      <w:r>
        <w:rPr>
          <w:rFonts w:ascii="Times New Roman" w:hAnsi="Times New Roman" w:cs="Times New Roman"/>
          <w:noProof/>
          <w:sz w:val="24"/>
          <w:szCs w:val="24"/>
        </w:rPr>
        <w:t>rt term scientific mission whereby approximately 50% of the participants were Early Stage Researchers (ESR). The impact on structuring and agenda setting at an international level was assessed by a survey where the most frequent answer (36%) stated a moder</w:t>
      </w:r>
      <w:r>
        <w:rPr>
          <w:rFonts w:ascii="Times New Roman" w:hAnsi="Times New Roman" w:cs="Times New Roman"/>
          <w:noProof/>
          <w:sz w:val="24"/>
          <w:szCs w:val="24"/>
        </w:rPr>
        <w:t>ate impact. At the level of individual actions more favourable answers were given in terms of enabling more effective collaboration and faster, dissemination and the provision of a  platform for coordination of scientific work. Impacts on wider economy and</w:t>
      </w:r>
      <w:r>
        <w:rPr>
          <w:rFonts w:ascii="Times New Roman" w:hAnsi="Times New Roman" w:cs="Times New Roman"/>
          <w:noProof/>
          <w:sz w:val="24"/>
          <w:szCs w:val="24"/>
        </w:rPr>
        <w:t xml:space="preserve"> society could be identified in case studies e.g. by addressing climate change, cultural heritage and contributions to standardisation.</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FP7 final review (2) highlights the added value of COST for scientific networking and acknowledges the contribution </w:t>
      </w:r>
      <w:r>
        <w:rPr>
          <w:rFonts w:ascii="Times New Roman" w:hAnsi="Times New Roman" w:cs="Times New Roman"/>
          <w:noProof/>
          <w:sz w:val="24"/>
          <w:szCs w:val="24"/>
        </w:rPr>
        <w:t>of COST for the career development of early stage researchers (45 % participation) and scientists from new member states. They state a considerable leverage effect of the COST networks attracting on average per year 650 million € of national funding. In ad</w:t>
      </w:r>
      <w:r>
        <w:rPr>
          <w:rFonts w:ascii="Times New Roman" w:hAnsi="Times New Roman" w:cs="Times New Roman"/>
          <w:noProof/>
          <w:sz w:val="24"/>
          <w:szCs w:val="24"/>
        </w:rPr>
        <w:t>dition, COST managed to extend the range far beyond its 35 member states by collaborating with 17 Near Neighbourhood Countries around Europe and further 27 global partner countries. Interviews with stakeholders revealed a high level of satisfaction. Howeve</w:t>
      </w:r>
      <w:r>
        <w:rPr>
          <w:rFonts w:ascii="Times New Roman" w:hAnsi="Times New Roman" w:cs="Times New Roman"/>
          <w:noProof/>
          <w:sz w:val="24"/>
          <w:szCs w:val="24"/>
        </w:rPr>
        <w:t>r, some room for improvement for governance and management is stated while acknowledging the progress already made by the deployment of new electronic workflow management and the envisaged reform of the Committees and the evaluation system.</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ESF final r</w:t>
      </w:r>
      <w:r>
        <w:rPr>
          <w:rFonts w:ascii="Times New Roman" w:hAnsi="Times New Roman" w:cs="Times New Roman"/>
          <w:noProof/>
          <w:sz w:val="24"/>
          <w:szCs w:val="24"/>
        </w:rPr>
        <w:t>eport for the FP7 grant (1) highlights the achievements in terms of scientific networking (370 actions carried out), inclusiveness policy, internationalisation and dissemination (more than 300 publications funded). A high demand from the scientific communi</w:t>
      </w:r>
      <w:r>
        <w:rPr>
          <w:rFonts w:ascii="Times New Roman" w:hAnsi="Times New Roman" w:cs="Times New Roman"/>
          <w:noProof/>
          <w:sz w:val="24"/>
          <w:szCs w:val="24"/>
        </w:rPr>
        <w:t xml:space="preserve">ty is expressed by the submission of more than 8000 proposals at stage 1. </w:t>
      </w:r>
    </w:p>
    <w:p w:rsidR="00E535A0" w:rsidRDefault="00C953F5">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conclusion the intergovernmental framework had a significant impact on overcoming the fragmentation of nationally funded research activities, promoted transdisciplinary research </w:t>
      </w:r>
      <w:r>
        <w:rPr>
          <w:rFonts w:ascii="Times New Roman" w:hAnsi="Times New Roman" w:cs="Times New Roman"/>
          <w:noProof/>
          <w:sz w:val="24"/>
          <w:szCs w:val="24"/>
        </w:rPr>
        <w:t>strands, built capacities for researcher careers and expanded the range of the European science community globally.</w:t>
      </w:r>
    </w:p>
    <w:p w:rsidR="00E535A0" w:rsidRDefault="00C953F5">
      <w:pPr>
        <w:spacing w:line="240" w:lineRule="auto"/>
        <w:jc w:val="both"/>
        <w:rPr>
          <w:rFonts w:ascii="Times New Roman" w:eastAsiaTheme="majorEastAsia" w:hAnsi="Times New Roman" w:cs="Times New Roman"/>
          <w:b/>
          <w:bCs/>
          <w:smallCaps/>
          <w:noProof/>
          <w:sz w:val="24"/>
          <w:szCs w:val="24"/>
        </w:rPr>
      </w:pPr>
      <w:r>
        <w:rPr>
          <w:rFonts w:ascii="Times New Roman" w:eastAsiaTheme="majorEastAsia" w:hAnsi="Times New Roman" w:cs="Times New Roman"/>
          <w:b/>
          <w:bCs/>
          <w:smallCaps/>
          <w:noProof/>
          <w:sz w:val="24"/>
          <w:szCs w:val="24"/>
        </w:rPr>
        <w:br w:type="page"/>
      </w:r>
    </w:p>
    <w:p w:rsidR="00E535A0" w:rsidRDefault="00C953F5">
      <w:pPr>
        <w:pStyle w:val="berschrift1"/>
        <w:rPr>
          <w:rFonts w:eastAsia="Times New Roman"/>
          <w:noProof/>
          <w:szCs w:val="24"/>
          <w:lang w:eastAsia="en-GB"/>
        </w:rPr>
      </w:pPr>
      <w:bookmarkStart w:id="46" w:name="_Toc433998144"/>
      <w:bookmarkStart w:id="47" w:name="_Toc439752814"/>
      <w:r>
        <w:rPr>
          <w:rFonts w:eastAsia="Times New Roman"/>
          <w:noProof/>
          <w:szCs w:val="24"/>
          <w:lang w:eastAsia="en-GB"/>
        </w:rPr>
        <w:t>Ex-post evaluation of FP 7 using the NEMESIS model</w:t>
      </w:r>
      <w:bookmarkEnd w:id="46"/>
      <w:bookmarkEnd w:id="47"/>
    </w:p>
    <w:p w:rsidR="00E535A0" w:rsidRDefault="00C953F5">
      <w:pPr>
        <w:spacing w:line="240" w:lineRule="auto"/>
        <w:jc w:val="both"/>
        <w:rPr>
          <w:rFonts w:ascii="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w:t>
      </w:r>
      <w:r>
        <w:rPr>
          <w:rFonts w:ascii="Times New Roman" w:hAnsi="Times New Roman" w:cs="Times New Roman"/>
          <w:noProof/>
          <w:sz w:val="24"/>
          <w:szCs w:val="24"/>
          <w:lang w:eastAsia="en-GB"/>
        </w:rPr>
        <w:t xml:space="preserve"> first attempt of retroactive or ex post evaluation of FP 7 was carried out using the NEMESIS model which was used for the "ex-ante" impact assessment. For this assessment, actual figures were used in the simulations, reflecting funding allocation and resp</w:t>
      </w:r>
      <w:r>
        <w:rPr>
          <w:rFonts w:ascii="Times New Roman" w:hAnsi="Times New Roman" w:cs="Times New Roman"/>
          <w:noProof/>
          <w:sz w:val="24"/>
          <w:szCs w:val="24"/>
          <w:lang w:eastAsia="en-GB"/>
        </w:rPr>
        <w:t>onses.</w:t>
      </w: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The actual data of the 7th FPRD</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Data provided by the DG-RTD consisted of FP7 funding by starting date, country, type of institution, EC contribution and total R&amp;D expenditures. It was assumed an average duration of 3 years for each project, and an a</w:t>
      </w:r>
      <w:r>
        <w:rPr>
          <w:rFonts w:ascii="Times New Roman" w:hAnsi="Times New Roman" w:cs="Times New Roman"/>
          <w:noProof/>
          <w:sz w:val="24"/>
          <w:szCs w:val="24"/>
          <w:lang w:eastAsia="en-GB"/>
        </w:rPr>
        <w:t>llocation of 50 % the first year and 25 % the next two.</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These assumptions are quite different from the ones used in the ex-ante evaluation. </w:t>
      </w: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The actual amount of financing over the period 2007-2016</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total EC contribution used in the simulation was EUR 4</w:t>
      </w:r>
      <w:r>
        <w:rPr>
          <w:rFonts w:ascii="Times New Roman" w:hAnsi="Times New Roman" w:cs="Times New Roman"/>
          <w:noProof/>
          <w:sz w:val="24"/>
          <w:szCs w:val="24"/>
          <w:lang w:eastAsia="en-GB"/>
        </w:rPr>
        <w:t>0.8 billion</w:t>
      </w:r>
      <w:r>
        <w:rPr>
          <w:rStyle w:val="Funotenzeichen"/>
          <w:rFonts w:ascii="Times New Roman" w:hAnsi="Times New Roman" w:cs="Times New Roman"/>
          <w:noProof/>
          <w:sz w:val="24"/>
          <w:szCs w:val="24"/>
          <w:lang w:eastAsia="en-GB"/>
        </w:rPr>
        <w:footnoteReference w:id="88"/>
      </w:r>
      <w:r>
        <w:rPr>
          <w:rFonts w:ascii="Times New Roman" w:hAnsi="Times New Roman" w:cs="Times New Roman"/>
          <w:noProof/>
          <w:sz w:val="24"/>
          <w:szCs w:val="24"/>
          <w:lang w:eastAsia="en-GB"/>
        </w:rPr>
        <w:t xml:space="preserve"> over the period 2007-2016, for a total amount of R&amp;D of 58.2 billion. This amount was lower than the one used in the ex-ante evaluation.</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annual EC contribution by country was estimated taking into account the assumptions about average dura</w:t>
      </w:r>
      <w:r>
        <w:rPr>
          <w:rFonts w:ascii="Times New Roman" w:hAnsi="Times New Roman" w:cs="Times New Roman"/>
          <w:noProof/>
          <w:sz w:val="24"/>
          <w:szCs w:val="24"/>
          <w:lang w:eastAsia="en-GB"/>
        </w:rPr>
        <w:t>tion of the projects and the real yearly allocation of funding (Figure 1).</w:t>
      </w:r>
    </w:p>
    <w:p w:rsidR="00E535A0" w:rsidRDefault="00E535A0">
      <w:pPr>
        <w:spacing w:line="240" w:lineRule="auto"/>
        <w:jc w:val="both"/>
        <w:rPr>
          <w:rFonts w:ascii="Times New Roman" w:hAnsi="Times New Roman" w:cs="Times New Roman"/>
          <w:noProof/>
          <w:sz w:val="24"/>
          <w:szCs w:val="24"/>
          <w:lang w:eastAsia="en-GB"/>
        </w:rPr>
      </w:pPr>
    </w:p>
    <w:p w:rsidR="00E535A0" w:rsidRDefault="00C953F5">
      <w:pPr>
        <w:spacing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Figure 1 Distribution of amounts financed and total per year (EUR million)</w:t>
      </w:r>
      <w:r>
        <w:rPr>
          <w:rFonts w:ascii="Times New Roman" w:hAnsi="Times New Roman" w:cs="Times New Roman"/>
          <w:b/>
          <w:bCs/>
          <w:noProof/>
          <w:sz w:val="24"/>
          <w:szCs w:val="24"/>
          <w:lang w:val="fr-FR" w:eastAsia="en-GB"/>
        </w:rPr>
        <w:fldChar w:fldCharType="begin"/>
      </w:r>
      <w:r>
        <w:rPr>
          <w:rFonts w:ascii="Times New Roman" w:hAnsi="Times New Roman" w:cs="Times New Roman"/>
          <w:b/>
          <w:bCs/>
          <w:noProof/>
          <w:sz w:val="24"/>
          <w:szCs w:val="24"/>
          <w:lang w:eastAsia="en-GB"/>
        </w:rPr>
        <w:instrText>SEQ "Figure" \*Arabic</w:instrText>
      </w:r>
      <w:r>
        <w:rPr>
          <w:rFonts w:ascii="Times New Roman" w:hAnsi="Times New Roman" w:cs="Times New Roman"/>
          <w:b/>
          <w:bCs/>
          <w:noProof/>
          <w:sz w:val="24"/>
          <w:szCs w:val="24"/>
          <w:lang w:val="fr-FR" w:eastAsia="en-GB"/>
        </w:rPr>
        <w:fldChar w:fldCharType="separate"/>
      </w:r>
      <w:r>
        <w:rPr>
          <w:rFonts w:ascii="Times New Roman" w:hAnsi="Times New Roman" w:cs="Times New Roman"/>
          <w:b/>
          <w:bCs/>
          <w:noProof/>
          <w:sz w:val="24"/>
          <w:szCs w:val="24"/>
          <w:lang w:eastAsia="en-GB"/>
        </w:rPr>
        <w:t>1</w:t>
      </w:r>
      <w:r>
        <w:rPr>
          <w:rFonts w:ascii="Times New Roman" w:hAnsi="Times New Roman" w:cs="Times New Roman"/>
          <w:noProof/>
          <w:sz w:val="24"/>
          <w:szCs w:val="24"/>
          <w:lang w:eastAsia="en-GB"/>
        </w:rPr>
        <w:fldChar w:fldCharType="end"/>
      </w:r>
    </w:p>
    <w:p w:rsidR="00E535A0" w:rsidRDefault="00C953F5">
      <w:pPr>
        <w:spacing w:line="240" w:lineRule="auto"/>
        <w:jc w:val="both"/>
        <w:rPr>
          <w:rFonts w:ascii="Times New Roman" w:hAnsi="Times New Roman" w:cs="Times New Roman"/>
          <w:noProof/>
          <w:sz w:val="24"/>
          <w:szCs w:val="24"/>
          <w:lang w:val="fr-FR" w:eastAsia="en-GB"/>
        </w:rPr>
      </w:pPr>
      <w:r>
        <w:rPr>
          <w:rFonts w:ascii="Times New Roman" w:hAnsi="Times New Roman" w:cs="Times New Roman"/>
          <w:noProof/>
          <w:sz w:val="24"/>
          <w:szCs w:val="24"/>
          <w:lang w:val="de-DE" w:eastAsia="de-DE"/>
        </w:rPr>
        <w:drawing>
          <wp:inline distT="0" distB="0" distL="0" distR="0">
            <wp:extent cx="5322498" cy="1630392"/>
            <wp:effectExtent l="0" t="0" r="0" b="0"/>
            <wp:docPr id="4" nam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535A0" w:rsidRDefault="00C953F5">
      <w:pP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br w:type="page"/>
      </w: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The breakdown of public/private finance</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the ex-ante evaluation, the </w:t>
      </w:r>
      <w:r>
        <w:rPr>
          <w:rFonts w:ascii="Times New Roman" w:hAnsi="Times New Roman" w:cs="Times New Roman"/>
          <w:noProof/>
          <w:sz w:val="24"/>
          <w:szCs w:val="24"/>
          <w:lang w:eastAsia="en-GB"/>
        </w:rPr>
        <w:t>hypothesis was that the private sector would receive 60 % of the EC funding, whilst the public sector would receive 40 % of it. However, in the actual situation it seems that the ratio is closer to 25 % for the private sector and 75 % for the public on ave</w:t>
      </w:r>
      <w:r>
        <w:rPr>
          <w:rFonts w:ascii="Times New Roman" w:hAnsi="Times New Roman" w:cs="Times New Roman"/>
          <w:noProof/>
          <w:sz w:val="24"/>
          <w:szCs w:val="24"/>
          <w:lang w:eastAsia="en-GB"/>
        </w:rPr>
        <w:t>rage, albeit with significant differences between Member States (see Figure 2). This difference between the assumptions and the actual situation is important and will in particular affect the average leverage.</w:t>
      </w:r>
    </w:p>
    <w:p w:rsidR="00E535A0" w:rsidRDefault="00C953F5">
      <w:pPr>
        <w:spacing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Figure 2:</w:t>
      </w:r>
      <w:r>
        <w:rPr>
          <w:rFonts w:ascii="Times New Roman" w:hAnsi="Times New Roman" w:cs="Times New Roman"/>
          <w:b/>
          <w:bCs/>
          <w:noProof/>
          <w:sz w:val="24"/>
          <w:szCs w:val="24"/>
          <w:lang w:val="fr-FR" w:eastAsia="en-GB"/>
        </w:rPr>
        <w:fldChar w:fldCharType="begin"/>
      </w:r>
      <w:r>
        <w:rPr>
          <w:rFonts w:ascii="Times New Roman" w:hAnsi="Times New Roman" w:cs="Times New Roman"/>
          <w:b/>
          <w:bCs/>
          <w:noProof/>
          <w:sz w:val="24"/>
          <w:szCs w:val="24"/>
          <w:lang w:eastAsia="en-GB"/>
        </w:rPr>
        <w:instrText>SEQ "Figure" \*Arabic</w:instrText>
      </w:r>
      <w:r>
        <w:rPr>
          <w:rFonts w:ascii="Times New Roman" w:hAnsi="Times New Roman" w:cs="Times New Roman"/>
          <w:b/>
          <w:bCs/>
          <w:noProof/>
          <w:sz w:val="24"/>
          <w:szCs w:val="24"/>
          <w:lang w:val="fr-FR" w:eastAsia="en-GB"/>
        </w:rPr>
        <w:fldChar w:fldCharType="separate"/>
      </w:r>
      <w:r>
        <w:rPr>
          <w:rFonts w:ascii="Times New Roman" w:hAnsi="Times New Roman" w:cs="Times New Roman"/>
          <w:b/>
          <w:bCs/>
          <w:noProof/>
          <w:sz w:val="24"/>
          <w:szCs w:val="24"/>
          <w:lang w:eastAsia="en-GB"/>
        </w:rPr>
        <w:t>2</w:t>
      </w:r>
      <w:r>
        <w:rPr>
          <w:rFonts w:ascii="Times New Roman" w:hAnsi="Times New Roman" w:cs="Times New Roman"/>
          <w:noProof/>
          <w:sz w:val="24"/>
          <w:szCs w:val="24"/>
          <w:lang w:eastAsia="en-GB"/>
        </w:rPr>
        <w:fldChar w:fldCharType="end"/>
      </w:r>
      <w:r>
        <w:rPr>
          <w:rFonts w:ascii="Times New Roman" w:hAnsi="Times New Roman" w:cs="Times New Roman"/>
          <w:b/>
          <w:bCs/>
          <w:noProof/>
          <w:sz w:val="24"/>
          <w:szCs w:val="24"/>
          <w:lang w:eastAsia="en-GB"/>
        </w:rPr>
        <w:t xml:space="preserve"> Share of pr</w:t>
      </w:r>
      <w:r>
        <w:rPr>
          <w:rFonts w:ascii="Times New Roman" w:hAnsi="Times New Roman" w:cs="Times New Roman"/>
          <w:b/>
          <w:bCs/>
          <w:noProof/>
          <w:sz w:val="24"/>
          <w:szCs w:val="24"/>
          <w:lang w:eastAsia="en-GB"/>
        </w:rPr>
        <w:t>ivate companies in the financing fp7 between Member States</w:t>
      </w:r>
    </w:p>
    <w:p w:rsidR="00E535A0" w:rsidRDefault="00C953F5">
      <w:pPr>
        <w:spacing w:line="240" w:lineRule="auto"/>
        <w:jc w:val="both"/>
        <w:rPr>
          <w:rFonts w:ascii="Times New Roman" w:hAnsi="Times New Roman" w:cs="Times New Roman"/>
          <w:noProof/>
          <w:sz w:val="24"/>
          <w:szCs w:val="24"/>
          <w:lang w:val="fr-FR" w:eastAsia="en-GB"/>
        </w:rPr>
      </w:pPr>
      <w:r>
        <w:rPr>
          <w:rFonts w:ascii="Times New Roman" w:hAnsi="Times New Roman" w:cs="Times New Roman"/>
          <w:noProof/>
          <w:sz w:val="24"/>
          <w:szCs w:val="24"/>
          <w:lang w:val="de-DE" w:eastAsia="de-DE"/>
        </w:rPr>
        <w:drawing>
          <wp:inline distT="0" distB="127000" distL="0" distR="0">
            <wp:extent cx="5089585" cy="274956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1"/>
                    <a:stretch>
                      <a:fillRect/>
                    </a:stretch>
                  </pic:blipFill>
                  <pic:spPr bwMode="auto">
                    <a:xfrm>
                      <a:off x="0" y="0"/>
                      <a:ext cx="5088062" cy="2748742"/>
                    </a:xfrm>
                    <a:prstGeom prst="rect">
                      <a:avLst/>
                    </a:prstGeom>
                    <a:noFill/>
                    <a:ln w="9525">
                      <a:noFill/>
                      <a:miter lim="800000"/>
                      <a:headEnd/>
                      <a:tailEnd/>
                    </a:ln>
                  </pic:spPr>
                </pic:pic>
              </a:graphicData>
            </a:graphic>
          </wp:inline>
        </w:drawing>
      </w: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EC contribution allocation between Member States</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the ex-ante assessment, two different kind of EC funding allocations were used. The first one consisted on a proportional allocation according </w:t>
      </w:r>
      <w:r>
        <w:rPr>
          <w:rFonts w:ascii="Times New Roman" w:hAnsi="Times New Roman" w:cs="Times New Roman"/>
          <w:noProof/>
          <w:sz w:val="24"/>
          <w:szCs w:val="24"/>
          <w:lang w:eastAsia="en-GB"/>
        </w:rPr>
        <w:t>to their R&amp;D expenditure, called "grand-fathering". The second one was based on performance using the Innovation scores. In the ex-post simulation, the actual allocation was used. It varies quite significantly from the ones used in the ex-ante simulation (</w:t>
      </w:r>
      <w:r>
        <w:rPr>
          <w:rFonts w:ascii="Times New Roman" w:hAnsi="Times New Roman" w:cs="Times New Roman"/>
          <w:noProof/>
          <w:sz w:val="24"/>
          <w:szCs w:val="24"/>
          <w:lang w:eastAsia="en-GB"/>
        </w:rPr>
        <w:t xml:space="preserve">see Table 1). </w:t>
      </w:r>
    </w:p>
    <w:p w:rsidR="00E535A0" w:rsidRDefault="00C953F5">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br w:type="page"/>
      </w:r>
    </w:p>
    <w:p w:rsidR="00E535A0" w:rsidRDefault="00E535A0">
      <w:pPr>
        <w:spacing w:line="240" w:lineRule="auto"/>
        <w:jc w:val="both"/>
        <w:rPr>
          <w:rFonts w:ascii="Times New Roman" w:hAnsi="Times New Roman" w:cs="Times New Roman"/>
          <w:noProof/>
          <w:sz w:val="24"/>
          <w:szCs w:val="24"/>
          <w:lang w:eastAsia="en-GB"/>
        </w:rPr>
      </w:pPr>
    </w:p>
    <w:p w:rsidR="00E535A0" w:rsidRDefault="00C953F5">
      <w:pPr>
        <w:spacing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Table 1 Distribution of funding by Member State (% of total)</w:t>
      </w:r>
      <w:r>
        <w:rPr>
          <w:rFonts w:ascii="Times New Roman" w:hAnsi="Times New Roman" w:cs="Times New Roman"/>
          <w:b/>
          <w:bCs/>
          <w:noProof/>
          <w:sz w:val="24"/>
          <w:szCs w:val="24"/>
          <w:lang w:val="fr-FR" w:eastAsia="en-GB"/>
        </w:rPr>
        <w:fldChar w:fldCharType="begin"/>
      </w:r>
      <w:r>
        <w:rPr>
          <w:rFonts w:ascii="Times New Roman" w:hAnsi="Times New Roman" w:cs="Times New Roman"/>
          <w:b/>
          <w:bCs/>
          <w:noProof/>
          <w:sz w:val="24"/>
          <w:szCs w:val="24"/>
          <w:lang w:eastAsia="en-GB"/>
        </w:rPr>
        <w:instrText>SEQ "Tableau" \*Arabic</w:instrText>
      </w:r>
      <w:r>
        <w:rPr>
          <w:rFonts w:ascii="Times New Roman" w:hAnsi="Times New Roman" w:cs="Times New Roman"/>
          <w:b/>
          <w:bCs/>
          <w:noProof/>
          <w:sz w:val="24"/>
          <w:szCs w:val="24"/>
          <w:lang w:val="fr-FR" w:eastAsia="en-GB"/>
        </w:rPr>
        <w:fldChar w:fldCharType="separate"/>
      </w:r>
      <w:r>
        <w:rPr>
          <w:rFonts w:ascii="Times New Roman" w:hAnsi="Times New Roman" w:cs="Times New Roman"/>
          <w:b/>
          <w:bCs/>
          <w:noProof/>
          <w:sz w:val="24"/>
          <w:szCs w:val="24"/>
          <w:lang w:eastAsia="en-GB"/>
        </w:rPr>
        <w:t>1</w:t>
      </w:r>
      <w:r>
        <w:rPr>
          <w:rFonts w:ascii="Times New Roman" w:hAnsi="Times New Roman" w:cs="Times New Roman"/>
          <w:noProof/>
          <w:sz w:val="24"/>
          <w:szCs w:val="24"/>
          <w:lang w:eastAsia="en-GB"/>
        </w:rPr>
        <w:fldChar w:fldCharType="end"/>
      </w:r>
    </w:p>
    <w:tbl>
      <w:tblPr>
        <w:tblW w:w="0" w:type="auto"/>
        <w:jc w:val="center"/>
        <w:tblBorders>
          <w:top w:val="nil"/>
          <w:left w:val="nil"/>
          <w:bottom w:val="single" w:sz="12" w:space="0" w:color="FFFFFF"/>
          <w:right w:val="single" w:sz="4" w:space="0" w:color="FFFFFF"/>
          <w:insideH w:val="single" w:sz="12" w:space="0" w:color="FFFFFF"/>
          <w:insideV w:val="single" w:sz="4" w:space="0" w:color="FFFFFF"/>
        </w:tblBorders>
        <w:tblCellMar>
          <w:left w:w="70" w:type="dxa"/>
          <w:right w:w="70" w:type="dxa"/>
        </w:tblCellMar>
        <w:tblLook w:val="0000" w:firstRow="0" w:lastRow="0" w:firstColumn="0" w:lastColumn="0" w:noHBand="0" w:noVBand="0"/>
      </w:tblPr>
      <w:tblGrid>
        <w:gridCol w:w="1227"/>
        <w:gridCol w:w="1208"/>
        <w:gridCol w:w="1361"/>
        <w:gridCol w:w="1322"/>
      </w:tblGrid>
      <w:tr w:rsidR="00E535A0">
        <w:trPr>
          <w:trHeight w:val="300"/>
          <w:jc w:val="center"/>
        </w:trPr>
        <w:tc>
          <w:tcPr>
            <w:tcW w:w="1227" w:type="dxa"/>
            <w:tcBorders>
              <w:top w:val="nil"/>
              <w:left w:val="nil"/>
              <w:bottom w:val="single" w:sz="12" w:space="0" w:color="FFFFFF"/>
              <w:right w:val="single" w:sz="4" w:space="0" w:color="FFFFFF"/>
            </w:tcBorders>
            <w:shd w:val="clear" w:color="auto" w:fill="4F81BD"/>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Country</w:t>
            </w:r>
          </w:p>
        </w:tc>
        <w:tc>
          <w:tcPr>
            <w:tcW w:w="1208" w:type="dxa"/>
            <w:tcBorders>
              <w:top w:val="nil"/>
              <w:left w:val="nil"/>
              <w:bottom w:val="single" w:sz="12" w:space="0" w:color="FFFFFF"/>
              <w:right w:val="single" w:sz="4" w:space="0" w:color="FFFFFF"/>
            </w:tcBorders>
            <w:shd w:val="clear" w:color="auto" w:fill="4F81BD"/>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FP 7</w:t>
            </w:r>
          </w:p>
        </w:tc>
        <w:tc>
          <w:tcPr>
            <w:tcW w:w="1208" w:type="dxa"/>
            <w:tcBorders>
              <w:top w:val="nil"/>
              <w:left w:val="nil"/>
              <w:bottom w:val="single" w:sz="12" w:space="0" w:color="FFFFFF"/>
              <w:right w:val="single" w:sz="4" w:space="0" w:color="FFFFFF"/>
            </w:tcBorders>
            <w:shd w:val="clear" w:color="auto" w:fill="4F81BD"/>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Grandfathering</w:t>
            </w:r>
          </w:p>
        </w:tc>
        <w:tc>
          <w:tcPr>
            <w:tcW w:w="1322" w:type="dxa"/>
            <w:tcBorders>
              <w:top w:val="nil"/>
              <w:left w:val="nil"/>
              <w:bottom w:val="single" w:sz="12" w:space="0" w:color="FFFFFF"/>
              <w:right w:val="nil"/>
            </w:tcBorders>
            <w:shd w:val="clear" w:color="auto" w:fill="4F81BD"/>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Performance</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DE</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17.63 %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29.56 %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25.71 %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UK</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17.24 %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12.09 %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15.55 %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FR</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12.86 %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17.39 %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15.64 %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It</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8.94 %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7.45 %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9.65 %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NL</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8.31 %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4.70 %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5.01 %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ES</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8.14 %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4.80 %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6.14 %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BE</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4.78 %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3.32 %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3.18 %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SE</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4.36 %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5.31 %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3.84 %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At</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2.92 %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3.35 %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2.46 %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DK</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2.66 %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2.85 %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2.54 %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GR</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2.49 %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0.54 %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1.24 %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FI</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2.17 %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2.46 %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1.84 %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IE</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1.55 %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1.00 %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1.33 %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PT</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1.29 %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0.86 %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1.11 %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PL</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1.09 %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1.27 %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1.46 %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HU</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0.72 %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0.52 %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0.48 %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CZ</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0.71 %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1.11 %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0.89 %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If</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0.42 %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0.34 %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0.26 %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RO</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0.35 %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0.21 %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0.43 %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BG</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0.24 %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0.10 %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0.12 %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EE</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0.24 %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0.12 %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0.10 %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CY</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0.23 %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0.03 %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0.13 %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SK</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0.19 %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0.23 %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0.26 %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LU</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0.15 %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0.19 %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0.34 %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LT</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0.13 %</w:t>
            </w:r>
          </w:p>
        </w:tc>
        <w:tc>
          <w:tcPr>
            <w:tcW w:w="1208" w:type="dxa"/>
            <w:tcBorders>
              <w:top w:val="nil"/>
              <w:left w:val="nil"/>
              <w:bottom w:val="single" w:sz="4" w:space="0" w:color="FFFFFF"/>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0.12 %</w:t>
            </w:r>
          </w:p>
        </w:tc>
        <w:tc>
          <w:tcPr>
            <w:tcW w:w="1322" w:type="dxa"/>
            <w:tcBorders>
              <w:top w:val="nil"/>
              <w:left w:val="nil"/>
              <w:bottom w:val="single" w:sz="4" w:space="0" w:color="FFFFFF"/>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0.09 %</w:t>
            </w:r>
          </w:p>
        </w:tc>
      </w:tr>
      <w:tr w:rsidR="00E535A0">
        <w:trPr>
          <w:trHeight w:val="300"/>
          <w:jc w:val="center"/>
        </w:trPr>
        <w:tc>
          <w:tcPr>
            <w:tcW w:w="1227"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LV</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0.12 %</w:t>
            </w:r>
          </w:p>
        </w:tc>
        <w:tc>
          <w:tcPr>
            <w:tcW w:w="1208" w:type="dxa"/>
            <w:tcBorders>
              <w:top w:val="nil"/>
              <w:left w:val="nil"/>
              <w:bottom w:val="single" w:sz="4" w:space="0" w:color="FFFFFF"/>
              <w:right w:val="single" w:sz="4" w:space="0" w:color="FFFFFF"/>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0.05 %</w:t>
            </w:r>
          </w:p>
        </w:tc>
        <w:tc>
          <w:tcPr>
            <w:tcW w:w="1322" w:type="dxa"/>
            <w:tcBorders>
              <w:top w:val="nil"/>
              <w:left w:val="nil"/>
              <w:bottom w:val="single" w:sz="4" w:space="0" w:color="FFFFFF"/>
              <w:right w:val="nil"/>
            </w:tcBorders>
            <w:shd w:val="clear" w:color="auto" w:fill="DBE5F1"/>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0.05 %</w:t>
            </w:r>
          </w:p>
        </w:tc>
      </w:tr>
      <w:tr w:rsidR="00E535A0">
        <w:trPr>
          <w:trHeight w:val="300"/>
          <w:jc w:val="center"/>
        </w:trPr>
        <w:tc>
          <w:tcPr>
            <w:tcW w:w="1227" w:type="dxa"/>
            <w:tcBorders>
              <w:top w:val="nil"/>
              <w:left w:val="nil"/>
              <w:bottom w:val="nil"/>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b/>
                <w:bCs/>
                <w:noProof/>
                <w:sz w:val="18"/>
                <w:szCs w:val="18"/>
                <w:lang w:val="fr-FR" w:eastAsia="en-GB"/>
              </w:rPr>
            </w:pPr>
            <w:r>
              <w:rPr>
                <w:rFonts w:ascii="Times New Roman" w:hAnsi="Times New Roman" w:cs="Times New Roman"/>
                <w:b/>
                <w:bCs/>
                <w:noProof/>
                <w:sz w:val="18"/>
                <w:szCs w:val="18"/>
                <w:lang w:val="fr-FR" w:eastAsia="en-GB"/>
              </w:rPr>
              <w:t>MT</w:t>
            </w:r>
          </w:p>
        </w:tc>
        <w:tc>
          <w:tcPr>
            <w:tcW w:w="1208" w:type="dxa"/>
            <w:tcBorders>
              <w:top w:val="nil"/>
              <w:left w:val="nil"/>
              <w:bottom w:val="nil"/>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0.05 %</w:t>
            </w:r>
          </w:p>
        </w:tc>
        <w:tc>
          <w:tcPr>
            <w:tcW w:w="1208" w:type="dxa"/>
            <w:tcBorders>
              <w:top w:val="nil"/>
              <w:left w:val="nil"/>
              <w:bottom w:val="nil"/>
              <w:right w:val="single" w:sz="4" w:space="0" w:color="FFFFFF"/>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0.02 %</w:t>
            </w:r>
          </w:p>
        </w:tc>
        <w:tc>
          <w:tcPr>
            <w:tcW w:w="1322" w:type="dxa"/>
            <w:tcBorders>
              <w:top w:val="nil"/>
              <w:left w:val="nil"/>
              <w:bottom w:val="nil"/>
              <w:right w:val="nil"/>
            </w:tcBorders>
            <w:shd w:val="clear" w:color="auto" w:fill="B8CCE4"/>
            <w:vAlign w:val="bottom"/>
          </w:tcPr>
          <w:p w:rsidR="00E535A0" w:rsidRDefault="00C953F5">
            <w:pPr>
              <w:spacing w:line="240" w:lineRule="auto"/>
              <w:jc w:val="both"/>
              <w:rPr>
                <w:rFonts w:ascii="Times New Roman" w:hAnsi="Times New Roman" w:cs="Times New Roman"/>
                <w:noProof/>
                <w:sz w:val="18"/>
                <w:szCs w:val="18"/>
                <w:lang w:val="fr-FR" w:eastAsia="en-GB"/>
              </w:rPr>
            </w:pPr>
            <w:r>
              <w:rPr>
                <w:rFonts w:ascii="Times New Roman" w:hAnsi="Times New Roman" w:cs="Times New Roman"/>
                <w:noProof/>
                <w:sz w:val="18"/>
                <w:szCs w:val="18"/>
                <w:lang w:val="fr-FR" w:eastAsia="en-GB"/>
              </w:rPr>
              <w:t>0.03 %</w:t>
            </w:r>
          </w:p>
        </w:tc>
      </w:tr>
    </w:tbl>
    <w:p w:rsidR="00E535A0" w:rsidRDefault="00E535A0">
      <w:pPr>
        <w:spacing w:line="240" w:lineRule="auto"/>
        <w:jc w:val="both"/>
        <w:rPr>
          <w:rFonts w:ascii="Times New Roman" w:hAnsi="Times New Roman" w:cs="Times New Roman"/>
          <w:noProof/>
          <w:sz w:val="24"/>
          <w:szCs w:val="24"/>
          <w:lang w:val="fr-FR" w:eastAsia="en-GB"/>
        </w:rPr>
      </w:pP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EC contribution by thematic priorities does not correspond to the 30 economic sectors used in NEMESIS. Therefore, the allocation across sectors was done using the grandfathering method </w:t>
      </w:r>
      <w:r>
        <w:rPr>
          <w:rFonts w:ascii="Times New Roman" w:hAnsi="Times New Roman" w:cs="Times New Roman"/>
          <w:noProof/>
          <w:sz w:val="24"/>
          <w:szCs w:val="24"/>
          <w:lang w:eastAsia="en-GB"/>
        </w:rPr>
        <w:t>(R&amp;D intensity in each sector) in the ex-post simulation.</w:t>
      </w: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Leverage</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the ex-ante assessment, the leverage effects (additional direct and indirect expenditure per EUR 1 million funding) selected were 0.3 for the public and 1.1 for the private sector. The a</w:t>
      </w:r>
      <w:r>
        <w:rPr>
          <w:rFonts w:ascii="Times New Roman" w:hAnsi="Times New Roman" w:cs="Times New Roman"/>
          <w:noProof/>
          <w:sz w:val="24"/>
          <w:szCs w:val="24"/>
          <w:lang w:eastAsia="en-GB"/>
        </w:rPr>
        <w:t>nalysis of the direct contribution (co-funding) by the stakeholders in FP7 shows an average leverage effect of 0.85 for the private sector and 0.28 for the public sector, with differences in time and space. As a result, the average leverage effect for Euro</w:t>
      </w:r>
      <w:r>
        <w:rPr>
          <w:rFonts w:ascii="Times New Roman" w:hAnsi="Times New Roman" w:cs="Times New Roman"/>
          <w:noProof/>
          <w:sz w:val="24"/>
          <w:szCs w:val="24"/>
          <w:lang w:eastAsia="en-GB"/>
        </w:rPr>
        <w:t>pe and over the whole period is 0.42 instead of 0.74 as used in the ex-ante assessment.</w:t>
      </w:r>
    </w:p>
    <w:p w:rsidR="00E535A0" w:rsidRDefault="00E535A0">
      <w:pPr>
        <w:spacing w:line="240" w:lineRule="auto"/>
        <w:jc w:val="both"/>
        <w:rPr>
          <w:rFonts w:ascii="Times New Roman" w:hAnsi="Times New Roman" w:cs="Times New Roman"/>
          <w:noProof/>
          <w:sz w:val="24"/>
          <w:szCs w:val="24"/>
          <w:lang w:eastAsia="en-GB"/>
        </w:rPr>
      </w:pPr>
    </w:p>
    <w:p w:rsidR="00E535A0" w:rsidRDefault="00C953F5">
      <w:pPr>
        <w:spacing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Figure 3 Average leverage effect on private by Member State</w:t>
      </w:r>
      <w:r>
        <w:rPr>
          <w:rFonts w:ascii="Times New Roman" w:hAnsi="Times New Roman" w:cs="Times New Roman"/>
          <w:b/>
          <w:bCs/>
          <w:noProof/>
          <w:sz w:val="24"/>
          <w:szCs w:val="24"/>
          <w:lang w:val="fr-FR" w:eastAsia="en-GB"/>
        </w:rPr>
        <w:fldChar w:fldCharType="begin"/>
      </w:r>
      <w:r>
        <w:rPr>
          <w:rFonts w:ascii="Times New Roman" w:hAnsi="Times New Roman" w:cs="Times New Roman"/>
          <w:b/>
          <w:bCs/>
          <w:noProof/>
          <w:sz w:val="24"/>
          <w:szCs w:val="24"/>
          <w:lang w:eastAsia="en-GB"/>
        </w:rPr>
        <w:instrText>SEQ "Figure" \*Arabic</w:instrText>
      </w:r>
      <w:r>
        <w:rPr>
          <w:rFonts w:ascii="Times New Roman" w:hAnsi="Times New Roman" w:cs="Times New Roman"/>
          <w:b/>
          <w:bCs/>
          <w:noProof/>
          <w:sz w:val="24"/>
          <w:szCs w:val="24"/>
          <w:lang w:val="fr-FR" w:eastAsia="en-GB"/>
        </w:rPr>
        <w:fldChar w:fldCharType="separate"/>
      </w:r>
      <w:r>
        <w:rPr>
          <w:rFonts w:ascii="Times New Roman" w:hAnsi="Times New Roman" w:cs="Times New Roman"/>
          <w:b/>
          <w:bCs/>
          <w:noProof/>
          <w:sz w:val="24"/>
          <w:szCs w:val="24"/>
          <w:lang w:eastAsia="en-GB"/>
        </w:rPr>
        <w:t>3</w:t>
      </w:r>
      <w:r>
        <w:rPr>
          <w:rFonts w:ascii="Times New Roman" w:hAnsi="Times New Roman" w:cs="Times New Roman"/>
          <w:noProof/>
          <w:sz w:val="24"/>
          <w:szCs w:val="24"/>
          <w:lang w:eastAsia="en-GB"/>
        </w:rPr>
        <w:fldChar w:fldCharType="end"/>
      </w:r>
    </w:p>
    <w:p w:rsidR="00E535A0" w:rsidRDefault="00C953F5">
      <w:pPr>
        <w:spacing w:line="240" w:lineRule="auto"/>
        <w:jc w:val="both"/>
        <w:rPr>
          <w:rFonts w:ascii="Times New Roman" w:hAnsi="Times New Roman" w:cs="Times New Roman"/>
          <w:noProof/>
          <w:sz w:val="24"/>
          <w:szCs w:val="24"/>
          <w:lang w:val="fr-FR" w:eastAsia="en-GB"/>
        </w:rPr>
      </w:pPr>
      <w:r>
        <w:rPr>
          <w:rFonts w:ascii="Times New Roman" w:hAnsi="Times New Roman" w:cs="Times New Roman"/>
          <w:noProof/>
          <w:sz w:val="24"/>
          <w:szCs w:val="24"/>
          <w:lang w:val="de-DE" w:eastAsia="de-DE"/>
        </w:rPr>
        <w:drawing>
          <wp:inline distT="0" distB="127000" distL="0" distR="0">
            <wp:extent cx="5760720" cy="316166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1"/>
                    <a:stretch>
                      <a:fillRect/>
                    </a:stretch>
                  </pic:blipFill>
                  <pic:spPr bwMode="auto">
                    <a:xfrm>
                      <a:off x="0" y="0"/>
                      <a:ext cx="5760720" cy="3161665"/>
                    </a:xfrm>
                    <a:prstGeom prst="rect">
                      <a:avLst/>
                    </a:prstGeom>
                    <a:noFill/>
                    <a:ln w="9525">
                      <a:noFill/>
                      <a:miter lim="800000"/>
                      <a:headEnd/>
                      <a:tailEnd/>
                    </a:ln>
                  </pic:spPr>
                </pic:pic>
              </a:graphicData>
            </a:graphic>
          </wp:inline>
        </w:drawing>
      </w:r>
    </w:p>
    <w:p w:rsidR="00E535A0" w:rsidRDefault="00C953F5">
      <w:pPr>
        <w:spacing w:line="240" w:lineRule="auto"/>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The results</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differences between the initial assumptions and the actual data </w:t>
      </w:r>
      <w:r>
        <w:rPr>
          <w:rFonts w:ascii="Times New Roman" w:hAnsi="Times New Roman" w:cs="Times New Roman"/>
          <w:noProof/>
          <w:sz w:val="24"/>
          <w:szCs w:val="24"/>
          <w:lang w:eastAsia="en-GB"/>
        </w:rPr>
        <w:t>led to a significant change of the results of the simulation. First, the total R&amp;D expenditure considered in the simulation is estimated to be 58.2 billion euros, below the one originally simulated. Second, the higher contribution to the public sector modi</w:t>
      </w:r>
      <w:r>
        <w:rPr>
          <w:rFonts w:ascii="Times New Roman" w:hAnsi="Times New Roman" w:cs="Times New Roman"/>
          <w:noProof/>
          <w:sz w:val="24"/>
          <w:szCs w:val="24"/>
          <w:lang w:eastAsia="en-GB"/>
        </w:rPr>
        <w:t>fies the spill-overs in the economy and in particular delay the maturity of research results reaching the real economy. Third the allocation of EU contribution between the Member States is significantly different than the one previously used. Fourth, no ad</w:t>
      </w:r>
      <w:r>
        <w:rPr>
          <w:rFonts w:ascii="Times New Roman" w:hAnsi="Times New Roman" w:cs="Times New Roman"/>
          <w:noProof/>
          <w:sz w:val="24"/>
          <w:szCs w:val="24"/>
          <w:lang w:eastAsia="en-GB"/>
        </w:rPr>
        <w:t>ditional EU R&amp;I spending is simulated after the end of FP7, in order to isolate its impacts.</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It is estimated that the impacts of FP7 will take place during and after the conclusion of the projects, therefore the simulation considers the period 2007-2030 (2</w:t>
      </w:r>
      <w:r>
        <w:rPr>
          <w:rFonts w:ascii="Times New Roman" w:hAnsi="Times New Roman" w:cs="Times New Roman"/>
          <w:noProof/>
          <w:sz w:val="24"/>
          <w:szCs w:val="24"/>
          <w:lang w:eastAsia="en-GB"/>
        </w:rPr>
        <w:t>4 years). On this period:</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FP 7 will cumulatively generate a total of additional 398 billion of GDP over the whole period, i.e. 16.6 billion per year, an additional 0.12 % GDP growth.</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FP 7 will create 950,000 Full Time Equivalents in research, and a </w:t>
      </w:r>
      <w:r>
        <w:rPr>
          <w:rFonts w:ascii="Times New Roman" w:hAnsi="Times New Roman" w:cs="Times New Roman"/>
          <w:noProof/>
          <w:sz w:val="24"/>
          <w:szCs w:val="24"/>
          <w:lang w:eastAsia="en-GB"/>
        </w:rPr>
        <w:t>total employment of 2.9 million Full Time Equivalents, equivalent to an average increase of 121,000 jobs/year</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original results obtained in the ex-ante Impact Assessment with the NEMESIS model for the same period were the EUR 560 bn of additional GDP an</w:t>
      </w:r>
      <w:r>
        <w:rPr>
          <w:rFonts w:ascii="Times New Roman" w:hAnsi="Times New Roman" w:cs="Times New Roman"/>
          <w:noProof/>
          <w:sz w:val="24"/>
          <w:szCs w:val="24"/>
          <w:lang w:eastAsia="en-GB"/>
        </w:rPr>
        <w:t>d 4 million jobs. The difference is mainly explained by the reduced financing of the initial shock. A detailed analysis of the results also shows a lower multiplier of GDP in the first 15 years of the simulation, but growing faster at the end of the period</w:t>
      </w:r>
      <w:r>
        <w:rPr>
          <w:rFonts w:ascii="Times New Roman" w:hAnsi="Times New Roman" w:cs="Times New Roman"/>
          <w:noProof/>
          <w:sz w:val="24"/>
          <w:szCs w:val="24"/>
          <w:lang w:eastAsia="en-GB"/>
        </w:rPr>
        <w:t>, due to the more fundamental nature of the research carried out by public partners, which requires longer maturation periods to be economically efficient but also creates more externalities.</w:t>
      </w:r>
    </w:p>
    <w:p w:rsidR="00E535A0" w:rsidRDefault="00E535A0">
      <w:pPr>
        <w:spacing w:line="240" w:lineRule="auto"/>
        <w:jc w:val="both"/>
        <w:rPr>
          <w:rFonts w:ascii="Times New Roman" w:hAnsi="Times New Roman" w:cs="Times New Roman"/>
          <w:noProof/>
          <w:sz w:val="24"/>
          <w:szCs w:val="24"/>
          <w:lang w:eastAsia="en-GB"/>
        </w:rPr>
      </w:pP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Annex 1</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comparisons of the cumulative multipliers between </w:t>
      </w:r>
      <w:r>
        <w:rPr>
          <w:rFonts w:ascii="Times New Roman" w:hAnsi="Times New Roman" w:cs="Times New Roman"/>
          <w:noProof/>
          <w:sz w:val="24"/>
          <w:szCs w:val="24"/>
          <w:lang w:eastAsia="en-GB"/>
        </w:rPr>
        <w:t>FP7 ex-ante and ex-post shows:</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The multiplier of GDP in the ex-ante evaluations is on average 6.3 to 15 years between 2012 (median of the temporal dimension of FP 7, and 2027.</w:t>
      </w:r>
    </w:p>
    <w:p w:rsidR="00E535A0" w:rsidRDefault="00C953F5">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In the ex-post evaluation, the multiplier is 6.03, below, for the reasons in</w:t>
      </w:r>
      <w:r>
        <w:rPr>
          <w:rFonts w:ascii="Times New Roman" w:hAnsi="Times New Roman" w:cs="Times New Roman"/>
          <w:noProof/>
          <w:sz w:val="24"/>
          <w:szCs w:val="24"/>
          <w:lang w:eastAsia="en-GB"/>
        </w:rPr>
        <w:t>dicated above. However, in 2027 the aggregate multiplier tends to increase more quickly than what was observed in the ex-ante simulation, probably because of the long-term impact of public innovation</w:t>
      </w:r>
    </w:p>
    <w:p w:rsidR="00E535A0" w:rsidRDefault="00E535A0">
      <w:pPr>
        <w:spacing w:line="240" w:lineRule="auto"/>
        <w:rPr>
          <w:noProof/>
          <w:lang w:eastAsia="en-GB"/>
        </w:rPr>
      </w:pPr>
    </w:p>
    <w:p w:rsidR="00E535A0" w:rsidRDefault="00C953F5">
      <w:pPr>
        <w:spacing w:line="240" w:lineRule="auto"/>
        <w:rPr>
          <w:noProof/>
          <w:lang w:val="fr-FR" w:eastAsia="en-GB"/>
        </w:rPr>
      </w:pPr>
      <w:r>
        <w:rPr>
          <w:noProof/>
          <w:lang w:val="de-DE" w:eastAsia="de-DE"/>
        </w:rPr>
        <w:drawing>
          <wp:inline distT="0" distB="127000" distL="0" distR="0">
            <wp:extent cx="5760720" cy="224345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2"/>
                    <a:stretch>
                      <a:fillRect/>
                    </a:stretch>
                  </pic:blipFill>
                  <pic:spPr bwMode="auto">
                    <a:xfrm>
                      <a:off x="0" y="0"/>
                      <a:ext cx="5760720" cy="2243455"/>
                    </a:xfrm>
                    <a:prstGeom prst="rect">
                      <a:avLst/>
                    </a:prstGeom>
                    <a:noFill/>
                    <a:ln w="9525">
                      <a:noFill/>
                      <a:miter lim="800000"/>
                      <a:headEnd/>
                      <a:tailEnd/>
                    </a:ln>
                  </pic:spPr>
                </pic:pic>
              </a:graphicData>
            </a:graphic>
          </wp:inline>
        </w:drawing>
      </w:r>
      <w:r>
        <w:rPr>
          <w:noProof/>
          <w:lang w:val="de-DE" w:eastAsia="de-DE"/>
        </w:rPr>
        <w:drawing>
          <wp:inline distT="0" distB="127000" distL="0" distR="0">
            <wp:extent cx="5760720" cy="224345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2"/>
                    <a:stretch>
                      <a:fillRect/>
                    </a:stretch>
                  </pic:blipFill>
                  <pic:spPr bwMode="auto">
                    <a:xfrm>
                      <a:off x="0" y="0"/>
                      <a:ext cx="5760720" cy="2243455"/>
                    </a:xfrm>
                    <a:prstGeom prst="rect">
                      <a:avLst/>
                    </a:prstGeom>
                    <a:noFill/>
                    <a:ln w="9525">
                      <a:noFill/>
                      <a:miter lim="800000"/>
                      <a:headEnd/>
                      <a:tailEnd/>
                    </a:ln>
                  </pic:spPr>
                </pic:pic>
              </a:graphicData>
            </a:graphic>
          </wp:inline>
        </w:drawing>
      </w:r>
    </w:p>
    <w:p w:rsidR="00E535A0" w:rsidRDefault="00C953F5">
      <w:pPr>
        <w:spacing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Top Graph: Results of the ex-ante simulation. Bottom</w:t>
      </w:r>
      <w:r>
        <w:rPr>
          <w:rFonts w:ascii="Times New Roman" w:hAnsi="Times New Roman" w:cs="Times New Roman"/>
          <w:noProof/>
          <w:sz w:val="24"/>
          <w:lang w:eastAsia="en-GB"/>
        </w:rPr>
        <w:t xml:space="preserve"> Graph: results of the ex-post simulation</w:t>
      </w:r>
    </w:p>
    <w:p w:rsidR="00E535A0" w:rsidRDefault="00C953F5">
      <w:pPr>
        <w:spacing w:line="240" w:lineRule="auto"/>
        <w:rPr>
          <w:b/>
          <w:noProof/>
          <w:lang w:eastAsia="en-GB"/>
        </w:rPr>
      </w:pPr>
      <w:r>
        <w:rPr>
          <w:b/>
          <w:noProof/>
          <w:lang w:eastAsia="en-GB"/>
        </w:rPr>
        <w:br w:type="page"/>
      </w:r>
    </w:p>
    <w:p w:rsidR="00E535A0" w:rsidRDefault="00C953F5">
      <w:pPr>
        <w:spacing w:line="240" w:lineRule="auto"/>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Annex 2: NEMESIS</w:t>
      </w:r>
    </w:p>
    <w:p w:rsidR="00E535A0" w:rsidRDefault="00C953F5">
      <w:pPr>
        <w:spacing w:line="240" w:lineRule="auto"/>
        <w:jc w:val="both"/>
        <w:rPr>
          <w:rFonts w:ascii="Times New Roman" w:hAnsi="Times New Roman" w:cs="Times New Roman"/>
          <w:b/>
          <w:noProof/>
          <w:sz w:val="24"/>
          <w:szCs w:val="24"/>
          <w:lang w:val="en-US" w:eastAsia="en-GB"/>
        </w:rPr>
      </w:pPr>
      <w:r>
        <w:rPr>
          <w:rFonts w:ascii="Times New Roman" w:hAnsi="Times New Roman" w:cs="Times New Roman"/>
          <w:b/>
          <w:noProof/>
          <w:sz w:val="24"/>
          <w:szCs w:val="24"/>
          <w:lang w:val="en-US" w:eastAsia="en-GB"/>
        </w:rPr>
        <w:t>General characteristics of NEMESIS</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Nemesis is a system of sectoral detailed models for every EU- 28 countries, and less detailed models for the rest of the world.</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NEMESIS distinguished 30 </w:t>
      </w:r>
      <w:r>
        <w:rPr>
          <w:rFonts w:ascii="Times New Roman" w:hAnsi="Times New Roman" w:cs="Times New Roman"/>
          <w:noProof/>
          <w:sz w:val="24"/>
          <w:szCs w:val="24"/>
          <w:lang w:val="en-US" w:eastAsia="en-GB"/>
        </w:rPr>
        <w:t>production sectors and decomposes households’ final consumption into 28 different consumption sub-functions. The public sector is very detailed, and the model can give a precise description of the evolution of the public accounts, as the debt to GDP and de</w:t>
      </w:r>
      <w:r>
        <w:rPr>
          <w:rFonts w:ascii="Times New Roman" w:hAnsi="Times New Roman" w:cs="Times New Roman"/>
          <w:noProof/>
          <w:sz w:val="24"/>
          <w:szCs w:val="24"/>
          <w:lang w:val="en-US" w:eastAsia="en-GB"/>
        </w:rPr>
        <w:t>ficit to GDP ratios.</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core of the economic mechanisms results from the choices of representative private agents, that have imperfect expectations of the evolution of prices, incomes and demand, to make decisions on investment and consumption, and from p</w:t>
      </w:r>
      <w:r>
        <w:rPr>
          <w:rFonts w:ascii="Times New Roman" w:hAnsi="Times New Roman" w:cs="Times New Roman"/>
          <w:noProof/>
          <w:sz w:val="24"/>
          <w:szCs w:val="24"/>
          <w:lang w:val="en-US" w:eastAsia="en-GB"/>
        </w:rPr>
        <w:t>ublic decisions, that influence trade-offs of private actors through taxation, public investment and expenditures, and of welfare payments.</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particularity of NEMESIS, compared to the other large scale simulation models for Europe, is that it is not a ge</w:t>
      </w:r>
      <w:r>
        <w:rPr>
          <w:rFonts w:ascii="Times New Roman" w:hAnsi="Times New Roman" w:cs="Times New Roman"/>
          <w:noProof/>
          <w:sz w:val="24"/>
          <w:szCs w:val="24"/>
          <w:lang w:val="en-US" w:eastAsia="en-GB"/>
        </w:rPr>
        <w:t>neral equilibrium model, and all the behavioural equations of NEMESIS include econometrically estimated coefficients. Nemesis is therefore well adapted for the description of short to medium terms dynamics, and for the analysis of the impacts of structural</w:t>
      </w:r>
      <w:r>
        <w:rPr>
          <w:rFonts w:ascii="Times New Roman" w:hAnsi="Times New Roman" w:cs="Times New Roman"/>
          <w:noProof/>
          <w:sz w:val="24"/>
          <w:szCs w:val="24"/>
          <w:lang w:val="en-US" w:eastAsia="en-GB"/>
        </w:rPr>
        <w:t xml:space="preserve"> policies, such as R &amp;D and innovation policies. Nemesis, that is principally governed in short term by its demand side, has a long term trajectory never properties coming from the new theories of growth.</w:t>
      </w:r>
    </w:p>
    <w:p w:rsidR="00E535A0" w:rsidRDefault="00C953F5">
      <w:pPr>
        <w:spacing w:line="240" w:lineRule="auto"/>
        <w:jc w:val="both"/>
        <w:rPr>
          <w:rFonts w:ascii="Times New Roman" w:hAnsi="Times New Roman" w:cs="Times New Roman"/>
          <w:b/>
          <w:noProof/>
          <w:sz w:val="24"/>
          <w:szCs w:val="24"/>
          <w:lang w:val="en-US" w:eastAsia="en-GB"/>
        </w:rPr>
      </w:pPr>
      <w:r>
        <w:rPr>
          <w:rFonts w:ascii="Times New Roman" w:hAnsi="Times New Roman" w:cs="Times New Roman"/>
          <w:b/>
          <w:noProof/>
          <w:sz w:val="24"/>
          <w:szCs w:val="24"/>
          <w:lang w:val="en-US" w:eastAsia="en-GB"/>
        </w:rPr>
        <w:t>Endogenous technical change in NEMESIS</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endogene</w:t>
      </w:r>
      <w:r>
        <w:rPr>
          <w:rFonts w:ascii="Times New Roman" w:hAnsi="Times New Roman" w:cs="Times New Roman"/>
          <w:noProof/>
          <w:sz w:val="24"/>
          <w:szCs w:val="24"/>
          <w:lang w:val="en-US" w:eastAsia="en-GB"/>
        </w:rPr>
        <w:t>isation of technical progress in nemesis is derived from by the new growth theories where innovations result from the investment in R &amp;D by private firms. For a country, at a sectoral level, three main phenomena are involved in the assessment of R &amp;D polic</w:t>
      </w:r>
      <w:r>
        <w:rPr>
          <w:rFonts w:ascii="Times New Roman" w:hAnsi="Times New Roman" w:cs="Times New Roman"/>
          <w:noProof/>
          <w:sz w:val="24"/>
          <w:szCs w:val="24"/>
          <w:lang w:val="en-US" w:eastAsia="en-GB"/>
        </w:rPr>
        <w:t>ies:</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 The R &amp;D decision that increases the R &amp;D stock of the sector;</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II. The knowledge externalities, which following the accumulation of R &amp;D stocks, flow towards other sectors’, and, what is important for European policies, towards other countries;</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III</w:t>
      </w:r>
      <w:r>
        <w:rPr>
          <w:rFonts w:ascii="Times New Roman" w:hAnsi="Times New Roman" w:cs="Times New Roman"/>
          <w:noProof/>
          <w:sz w:val="24"/>
          <w:szCs w:val="24"/>
          <w:lang w:val="en-US" w:eastAsia="en-GB"/>
        </w:rPr>
        <w:t>. The economic performance resulting from all these spillovers and R &amp;D expenditures, that, in NEMESIS, come from the innovations provoked by the variation of the knowledge variable at the sectoral level.</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innovations that appear in each sector are proc</w:t>
      </w:r>
      <w:r>
        <w:rPr>
          <w:rFonts w:ascii="Times New Roman" w:hAnsi="Times New Roman" w:cs="Times New Roman"/>
          <w:noProof/>
          <w:sz w:val="24"/>
          <w:szCs w:val="24"/>
          <w:lang w:val="en-US" w:eastAsia="en-GB"/>
        </w:rPr>
        <w:t>ess and product innovations. This distinction between process and product innovation is crucial as the econometric studies show that process innovations alone have a negative, or only a slight positive impact, on economic performance and employment, wherea</w:t>
      </w:r>
      <w:r>
        <w:rPr>
          <w:rFonts w:ascii="Times New Roman" w:hAnsi="Times New Roman" w:cs="Times New Roman"/>
          <w:noProof/>
          <w:sz w:val="24"/>
          <w:szCs w:val="24"/>
          <w:lang w:val="en-US" w:eastAsia="en-GB"/>
        </w:rPr>
        <w:t>s the impact of product innovations is always positive. Therefore, in NEMESIS, innovations enhance competitiveness, by price and quality improvement. They impact simultaneously on internal demand, notably on final consumption, in reason of an increased pri</w:t>
      </w:r>
      <w:r>
        <w:rPr>
          <w:rFonts w:ascii="Times New Roman" w:hAnsi="Times New Roman" w:cs="Times New Roman"/>
          <w:noProof/>
          <w:sz w:val="24"/>
          <w:szCs w:val="24"/>
          <w:lang w:val="en-US" w:eastAsia="en-GB"/>
        </w:rPr>
        <w:t>ce to quality ratio, and of course on external demand by increased competitiveness. All these sectoral evolutions are articulated by the input-output tables of the model, and by the knowledge spillovers matrices. The result of sectoral interdependencies im</w:t>
      </w:r>
      <w:r>
        <w:rPr>
          <w:rFonts w:ascii="Times New Roman" w:hAnsi="Times New Roman" w:cs="Times New Roman"/>
          <w:noProof/>
          <w:sz w:val="24"/>
          <w:szCs w:val="24"/>
          <w:lang w:val="en-US" w:eastAsia="en-GB"/>
        </w:rPr>
        <w:t>pulse a movement that is partially 'bottom-up'.</w:t>
      </w:r>
    </w:p>
    <w:p w:rsidR="00E535A0" w:rsidRDefault="00C953F5">
      <w:pPr>
        <w:spacing w:line="240" w:lineRule="auto"/>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pure macroeconomic feedbacks pass by the decrease in unemployment that enhances wages, consumption, and, at the end, the prices that will lower the competitiveness gains. These pure macroeconomic feedback</w:t>
      </w:r>
      <w:r>
        <w:rPr>
          <w:rFonts w:ascii="Times New Roman" w:hAnsi="Times New Roman" w:cs="Times New Roman"/>
          <w:noProof/>
          <w:sz w:val="24"/>
          <w:szCs w:val="24"/>
          <w:lang w:val="en-US" w:eastAsia="en-GB"/>
        </w:rPr>
        <w:t>s are combined with the preceding bottom-up dynamic, to give a macroeconomic track of which characteristics are 'hybrid', combining macro and bottom-up forces.</w:t>
      </w:r>
    </w:p>
    <w:p w:rsidR="00E535A0" w:rsidRDefault="00C953F5">
      <w:pPr>
        <w:spacing w:line="240" w:lineRule="auto"/>
        <w:jc w:val="both"/>
        <w:rPr>
          <w:rFonts w:eastAsia="Times New Roman"/>
          <w:noProof/>
          <w:szCs w:val="24"/>
          <w:lang w:eastAsia="en-GB"/>
        </w:rPr>
      </w:pPr>
      <w:bookmarkStart w:id="48" w:name="_Toc433998145"/>
      <w:r>
        <w:rPr>
          <w:rFonts w:eastAsia="Times New Roman"/>
          <w:noProof/>
          <w:szCs w:val="24"/>
          <w:lang w:eastAsia="en-GB"/>
        </w:rPr>
        <w:t>Objectives and activities mentioned in Decision concerning the Seventh Framework Programme</w:t>
      </w:r>
      <w:bookmarkEnd w:id="48"/>
    </w:p>
    <w:p w:rsidR="00E535A0" w:rsidRDefault="00C953F5">
      <w:pPr>
        <w:spacing w:before="240" w:line="240" w:lineRule="auto"/>
        <w:jc w:val="both"/>
        <w:rPr>
          <w:rFonts w:ascii="Times New Roman" w:eastAsia="Times New Roman" w:hAnsi="Times New Roman" w:cs="Times New Roman"/>
          <w:bCs/>
          <w:noProof/>
          <w:color w:val="000000"/>
          <w:sz w:val="24"/>
          <w:szCs w:val="24"/>
          <w:lang w:eastAsia="en-GB"/>
        </w:rPr>
      </w:pPr>
      <w:r>
        <w:rPr>
          <w:rFonts w:ascii="Times New Roman" w:eastAsia="Times New Roman" w:hAnsi="Times New Roman" w:cs="Times New Roman"/>
          <w:bCs/>
          <w:noProof/>
          <w:color w:val="000000"/>
          <w:sz w:val="24"/>
          <w:szCs w:val="24"/>
          <w:lang w:eastAsia="en-GB"/>
        </w:rPr>
        <w:t>Objec</w:t>
      </w:r>
      <w:r>
        <w:rPr>
          <w:rFonts w:ascii="Times New Roman" w:eastAsia="Times New Roman" w:hAnsi="Times New Roman" w:cs="Times New Roman"/>
          <w:bCs/>
          <w:noProof/>
          <w:color w:val="000000"/>
          <w:sz w:val="24"/>
          <w:szCs w:val="24"/>
          <w:lang w:eastAsia="en-GB"/>
        </w:rPr>
        <w:t>tives and activities mentioned in DECISION No 1982/2006/EC OF THE EUROPEAN PARLIAMENT AND OF THE COUNCIL  of 18 December 2006 concerning the Seventh Framework Programme of the European Community for research, technological development and demonstration act</w:t>
      </w:r>
      <w:r>
        <w:rPr>
          <w:rFonts w:ascii="Times New Roman" w:eastAsia="Times New Roman" w:hAnsi="Times New Roman" w:cs="Times New Roman"/>
          <w:bCs/>
          <w:noProof/>
          <w:color w:val="000000"/>
          <w:sz w:val="24"/>
          <w:szCs w:val="24"/>
          <w:lang w:eastAsia="en-GB"/>
        </w:rPr>
        <w:t>ivities (2007-2013)</w:t>
      </w:r>
    </w:p>
    <w:p w:rsidR="00E535A0" w:rsidRDefault="00E535A0">
      <w:pPr>
        <w:spacing w:after="240" w:line="240" w:lineRule="auto"/>
        <w:jc w:val="both"/>
        <w:rPr>
          <w:rFonts w:ascii="Times New Roman" w:eastAsia="Times New Roman" w:hAnsi="Times New Roman" w:cs="Times New Roman"/>
          <w:noProof/>
          <w:sz w:val="24"/>
          <w:szCs w:val="24"/>
        </w:rPr>
      </w:pP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Objectives and activities</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 The Seventh Framework Programme shall support the activities set out in points (i) to (iv). The objectives and the broad lines of those activities are set out in Annex I.</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 Cooperation: supporting the </w:t>
      </w:r>
      <w:r>
        <w:rPr>
          <w:rFonts w:ascii="Times New Roman" w:eastAsia="Times New Roman" w:hAnsi="Times New Roman" w:cs="Times New Roman"/>
          <w:noProof/>
          <w:sz w:val="24"/>
          <w:szCs w:val="24"/>
        </w:rPr>
        <w:t>whole range of research actions carried out in trans-national cooperation in the following thematic areas:</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 Health; </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 Food, Agriculture and Fisheries, and Biotechnology;</w:t>
      </w:r>
    </w:p>
    <w:p w:rsidR="00E535A0" w:rsidRDefault="00C953F5">
      <w:pPr>
        <w:spacing w:after="240"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(c) Information and Communication Technologies;</w:t>
      </w:r>
    </w:p>
    <w:p w:rsidR="00E535A0" w:rsidRDefault="00C953F5">
      <w:pPr>
        <w:spacing w:after="240"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(d) Nano-sciences, Nano-technolo</w:t>
      </w:r>
      <w:r>
        <w:rPr>
          <w:rFonts w:ascii="Times New Roman" w:eastAsia="Times New Roman" w:hAnsi="Times New Roman" w:cs="Times New Roman"/>
          <w:noProof/>
          <w:sz w:val="24"/>
          <w:szCs w:val="24"/>
          <w:lang w:val="fr-BE"/>
        </w:rPr>
        <w:t>gies, Materials and New Production Technologies;</w:t>
      </w:r>
    </w:p>
    <w:p w:rsidR="00E535A0" w:rsidRDefault="00C953F5">
      <w:pPr>
        <w:spacing w:after="240"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(e) Energy;</w:t>
      </w:r>
    </w:p>
    <w:p w:rsidR="00E535A0" w:rsidRDefault="00C953F5">
      <w:pPr>
        <w:spacing w:after="240"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(f) Environment (including Climate Change);</w:t>
      </w:r>
    </w:p>
    <w:p w:rsidR="00E535A0" w:rsidRDefault="00C953F5">
      <w:pPr>
        <w:spacing w:after="240" w:line="240" w:lineRule="auto"/>
        <w:jc w:val="both"/>
        <w:rPr>
          <w:rFonts w:ascii="Times New Roman" w:eastAsia="Times New Roman" w:hAnsi="Times New Roman" w:cs="Times New Roman"/>
          <w:noProof/>
          <w:sz w:val="24"/>
          <w:szCs w:val="24"/>
          <w:lang w:val="fr-BE"/>
        </w:rPr>
      </w:pPr>
      <w:r>
        <w:rPr>
          <w:rFonts w:ascii="Times New Roman" w:eastAsia="Times New Roman" w:hAnsi="Times New Roman" w:cs="Times New Roman"/>
          <w:noProof/>
          <w:sz w:val="24"/>
          <w:szCs w:val="24"/>
          <w:lang w:val="fr-BE"/>
        </w:rPr>
        <w:t>(g) Transport (including Aeronautics);</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(h) Socio-economic Sciences and Humanities;</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 Space;</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(j) Security.</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(ii) Ideas: supporting ‘investigator-driven</w:t>
      </w:r>
      <w:r>
        <w:rPr>
          <w:rFonts w:ascii="Times New Roman" w:eastAsia="Times New Roman" w:hAnsi="Times New Roman" w:cs="Times New Roman"/>
          <w:noProof/>
          <w:sz w:val="24"/>
          <w:szCs w:val="24"/>
        </w:rPr>
        <w:t>’ research carried out across all fields by individual national or transnational teams in competition at the European level.</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(iii) People: strengthening, quantitatively and qualitatively, the human potential in research and technological development in Eur</w:t>
      </w:r>
      <w:r>
        <w:rPr>
          <w:rFonts w:ascii="Times New Roman" w:eastAsia="Times New Roman" w:hAnsi="Times New Roman" w:cs="Times New Roman"/>
          <w:noProof/>
          <w:sz w:val="24"/>
          <w:szCs w:val="24"/>
        </w:rPr>
        <w:t>ope, as well as encouraging mobility.</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(iv) Capacities: supporting key aspects of European research and innovation capacities such as research infrastructures; regional research driven clusters; the development of a full research potential in the Community'</w:t>
      </w:r>
      <w:r>
        <w:rPr>
          <w:rFonts w:ascii="Times New Roman" w:eastAsia="Times New Roman" w:hAnsi="Times New Roman" w:cs="Times New Roman"/>
          <w:noProof/>
          <w:sz w:val="24"/>
          <w:szCs w:val="24"/>
        </w:rPr>
        <w:t>s convergence and outermost regions; research for the benefit of small and medium-sized enterprises (‘SMEs’) (11); ‘Science in Society’ issues; support to coherent development of policies; horizontal activities of international cooperation.</w:t>
      </w:r>
    </w:p>
    <w:p w:rsidR="00E535A0" w:rsidRDefault="00C953F5">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2. The Seventh </w:t>
      </w:r>
      <w:r>
        <w:rPr>
          <w:rFonts w:ascii="Times New Roman" w:eastAsia="Times New Roman" w:hAnsi="Times New Roman" w:cs="Times New Roman"/>
          <w:noProof/>
          <w:sz w:val="24"/>
          <w:szCs w:val="24"/>
        </w:rPr>
        <w:t>Framework Programme shall also support the non-nuclear direct scientific and technical actions carried out by the Joint Research Centre (‘JRC’) as defined in Annex I.</w:t>
      </w:r>
    </w:p>
    <w:p w:rsidR="00E535A0" w:rsidRDefault="00C953F5">
      <w:pPr>
        <w:spacing w:line="240" w:lineRule="auto"/>
        <w:jc w:val="both"/>
        <w:rPr>
          <w:rFonts w:ascii="Times New Roman" w:eastAsiaTheme="majorEastAsia" w:hAnsi="Times New Roman" w:cs="Times New Roman"/>
          <w:b/>
          <w:bCs/>
          <w:smallCaps/>
          <w:noProof/>
          <w:sz w:val="24"/>
          <w:szCs w:val="24"/>
        </w:rPr>
      </w:pPr>
      <w:r>
        <w:rPr>
          <w:rFonts w:ascii="Times New Roman" w:eastAsiaTheme="majorEastAsia" w:hAnsi="Times New Roman" w:cs="Times New Roman"/>
          <w:b/>
          <w:bCs/>
          <w:smallCaps/>
          <w:noProof/>
          <w:sz w:val="24"/>
          <w:szCs w:val="24"/>
        </w:rPr>
        <w:br w:type="page"/>
      </w:r>
    </w:p>
    <w:p w:rsidR="00E535A0" w:rsidRDefault="00C953F5">
      <w:pPr>
        <w:pStyle w:val="berschrift1"/>
        <w:rPr>
          <w:noProof/>
          <w:szCs w:val="24"/>
        </w:rPr>
      </w:pPr>
      <w:bookmarkStart w:id="49" w:name="_Toc433998146"/>
      <w:bookmarkStart w:id="50" w:name="_Toc439752815"/>
      <w:r>
        <w:rPr>
          <w:noProof/>
          <w:szCs w:val="24"/>
        </w:rPr>
        <w:t>FP7 publication data</w:t>
      </w:r>
      <w:bookmarkEnd w:id="49"/>
      <w:bookmarkEnd w:id="50"/>
      <w:r>
        <w:rPr>
          <w:noProof/>
          <w:szCs w:val="24"/>
        </w:rPr>
        <w:t xml:space="preserve"> </w:t>
      </w:r>
    </w:p>
    <w:p w:rsidR="00E535A0" w:rsidRDefault="00E535A0">
      <w:pPr>
        <w:spacing w:line="240" w:lineRule="auto"/>
        <w:jc w:val="both"/>
        <w:rPr>
          <w:rFonts w:ascii="Times New Roman" w:hAnsi="Times New Roman" w:cs="Times New Roman"/>
          <w:noProof/>
          <w:sz w:val="24"/>
          <w:szCs w:val="24"/>
          <w:lang w:val="en-US"/>
        </w:rPr>
      </w:pPr>
    </w:p>
    <w:p w:rsidR="00E535A0" w:rsidRDefault="00C953F5">
      <w:pPr>
        <w:pStyle w:val="berschrift2"/>
        <w:rPr>
          <w:noProof/>
        </w:rPr>
      </w:pPr>
      <w:r>
        <w:rPr>
          <w:noProof/>
        </w:rPr>
        <w:t>Basic information</w:t>
      </w:r>
    </w:p>
    <w:p w:rsidR="00E535A0" w:rsidRDefault="00C953F5">
      <w:pPr>
        <w:spacing w:after="0" w:line="240" w:lineRule="auto"/>
        <w:rPr>
          <w:rFonts w:ascii="Times New Roman" w:hAnsi="Times New Roman" w:cs="Times New Roman"/>
          <w:noProof/>
        </w:rPr>
      </w:pPr>
      <w:r>
        <w:rPr>
          <w:rFonts w:ascii="Times New Roman" w:hAnsi="Times New Roman" w:cs="Times New Roman"/>
          <w:noProof/>
        </w:rPr>
        <w:t xml:space="preserve">OpenAIRE has identified </w:t>
      </w:r>
      <w:r>
        <w:rPr>
          <w:rFonts w:ascii="Times New Roman" w:hAnsi="Times New Roman" w:cs="Times New Roman"/>
          <w:b/>
          <w:noProof/>
        </w:rPr>
        <w:t>171,258</w:t>
      </w:r>
      <w:r>
        <w:rPr>
          <w:rFonts w:ascii="Times New Roman" w:hAnsi="Times New Roman" w:cs="Times New Roman"/>
          <w:noProof/>
        </w:rPr>
        <w:t xml:space="preserve"> publications linked to </w:t>
      </w:r>
      <w:r>
        <w:rPr>
          <w:rFonts w:ascii="Times New Roman" w:hAnsi="Times New Roman" w:cs="Times New Roman"/>
          <w:b/>
          <w:noProof/>
        </w:rPr>
        <w:t>12,680</w:t>
      </w:r>
      <w:r>
        <w:rPr>
          <w:rFonts w:ascii="Times New Roman" w:hAnsi="Times New Roman" w:cs="Times New Roman"/>
          <w:noProof/>
        </w:rPr>
        <w:t xml:space="preserve"> FP7 projects</w:t>
      </w:r>
      <w:r>
        <w:rPr>
          <w:rStyle w:val="Funotenzeichen"/>
          <w:rFonts w:ascii="Times New Roman" w:hAnsi="Times New Roman" w:cs="Times New Roman"/>
          <w:noProof/>
        </w:rPr>
        <w:footnoteReference w:id="89"/>
      </w:r>
      <w:r>
        <w:rPr>
          <w:rFonts w:ascii="Times New Roman" w:hAnsi="Times New Roman" w:cs="Times New Roman"/>
          <w:noProof/>
        </w:rPr>
        <w:t xml:space="preserve">. Note that each publication can be attributed to more than one programme, which is why the total publication </w:t>
      </w:r>
    </w:p>
    <w:p w:rsidR="00E535A0" w:rsidRDefault="00C953F5">
      <w:pPr>
        <w:spacing w:after="0" w:line="240" w:lineRule="auto"/>
        <w:rPr>
          <w:rFonts w:ascii="Times New Roman" w:hAnsi="Times New Roman" w:cs="Times New Roman"/>
          <w:noProof/>
        </w:rPr>
      </w:pPr>
      <w:r>
        <w:rPr>
          <w:rFonts w:ascii="Times New Roman" w:hAnsi="Times New Roman" w:cs="Times New Roman"/>
          <w:noProof/>
        </w:rPr>
        <w:t>per programme is higher, than the total number of publications.</w:t>
      </w:r>
    </w:p>
    <w:tbl>
      <w:tblPr>
        <w:tblStyle w:val="Tabellenraster"/>
        <w:tblpPr w:leftFromText="180" w:rightFromText="180" w:vertAnchor="text" w:horzAnchor="margin" w:tblpY="229"/>
        <w:tblW w:w="0" w:type="auto"/>
        <w:tblLook w:val="04A0" w:firstRow="1" w:lastRow="0" w:firstColumn="1" w:lastColumn="0" w:noHBand="0" w:noVBand="1"/>
      </w:tblPr>
      <w:tblGrid>
        <w:gridCol w:w="2660"/>
        <w:gridCol w:w="6060"/>
      </w:tblGrid>
      <w:tr w:rsidR="00E535A0">
        <w:tc>
          <w:tcPr>
            <w:tcW w:w="2660" w:type="dxa"/>
          </w:tcPr>
          <w:p w:rsidR="00E535A0" w:rsidRDefault="00E535A0">
            <w:pPr>
              <w:jc w:val="both"/>
              <w:rPr>
                <w:rFonts w:ascii="Times New Roman" w:hAnsi="Times New Roman" w:cs="Times New Roman"/>
                <w:noProof/>
                <w:sz w:val="24"/>
                <w:szCs w:val="24"/>
                <w:lang w:val="en-US"/>
              </w:rPr>
            </w:pPr>
          </w:p>
        </w:tc>
        <w:tc>
          <w:tcPr>
            <w:tcW w:w="60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Publication pr. programme</w:t>
            </w:r>
          </w:p>
        </w:tc>
      </w:tr>
      <w:tr w:rsidR="00E535A0">
        <w:tc>
          <w:tcPr>
            <w:tcW w:w="26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Cooperation: </w:t>
            </w:r>
          </w:p>
        </w:tc>
        <w:tc>
          <w:tcPr>
            <w:tcW w:w="60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81,993 publications (47.83% of total); 37,948 Open Access</w:t>
            </w:r>
          </w:p>
        </w:tc>
      </w:tr>
      <w:tr w:rsidR="00E535A0">
        <w:tc>
          <w:tcPr>
            <w:tcW w:w="26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Ideas: </w:t>
            </w:r>
          </w:p>
        </w:tc>
        <w:tc>
          <w:tcPr>
            <w:tcW w:w="60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63,417 publications (36.99% of total); 38,577 Open Access</w:t>
            </w:r>
          </w:p>
        </w:tc>
      </w:tr>
      <w:tr w:rsidR="00E535A0">
        <w:tc>
          <w:tcPr>
            <w:tcW w:w="26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People: </w:t>
            </w:r>
          </w:p>
        </w:tc>
        <w:tc>
          <w:tcPr>
            <w:tcW w:w="60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21,867 publications (12.76% of total); 14,769 Open Access</w:t>
            </w:r>
          </w:p>
        </w:tc>
      </w:tr>
      <w:tr w:rsidR="00E535A0">
        <w:tc>
          <w:tcPr>
            <w:tcW w:w="26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Capacities: </w:t>
            </w:r>
          </w:p>
        </w:tc>
        <w:tc>
          <w:tcPr>
            <w:tcW w:w="60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11,598 publications (6.75% </w:t>
            </w:r>
            <w:r>
              <w:rPr>
                <w:rFonts w:ascii="Times New Roman" w:hAnsi="Times New Roman" w:cs="Times New Roman"/>
                <w:noProof/>
                <w:sz w:val="24"/>
                <w:szCs w:val="24"/>
                <w:lang w:val="en-US"/>
              </w:rPr>
              <w:t>of total); 7,260 Open Access</w:t>
            </w:r>
          </w:p>
        </w:tc>
      </w:tr>
      <w:tr w:rsidR="00E535A0">
        <w:trPr>
          <w:trHeight w:val="96"/>
        </w:trPr>
        <w:tc>
          <w:tcPr>
            <w:tcW w:w="26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Euratom: </w:t>
            </w:r>
          </w:p>
        </w:tc>
        <w:tc>
          <w:tcPr>
            <w:tcW w:w="6060" w:type="dxa"/>
          </w:tcPr>
          <w:p w:rsidR="00E535A0" w:rsidRDefault="00C953F5">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631 publications (0.37% of total); 198 Open Access</w:t>
            </w:r>
          </w:p>
        </w:tc>
      </w:tr>
    </w:tbl>
    <w:p w:rsidR="00E535A0" w:rsidRDefault="00E535A0">
      <w:pPr>
        <w:pStyle w:val="berschrift2"/>
        <w:numPr>
          <w:ilvl w:val="0"/>
          <w:numId w:val="0"/>
        </w:numPr>
        <w:ind w:left="850"/>
        <w:rPr>
          <w:noProof/>
          <w:szCs w:val="24"/>
        </w:rPr>
      </w:pPr>
    </w:p>
    <w:p w:rsidR="00E535A0" w:rsidRDefault="00C953F5">
      <w:pPr>
        <w:pStyle w:val="berschrift2"/>
        <w:rPr>
          <w:noProof/>
          <w:szCs w:val="24"/>
        </w:rPr>
      </w:pPr>
      <w:r>
        <w:rPr>
          <w:noProof/>
          <w:szCs w:val="24"/>
        </w:rPr>
        <w:t>How did we identify them?</w:t>
      </w:r>
    </w:p>
    <w:p w:rsidR="00E535A0" w:rsidRDefault="00C953F5">
      <w:pPr>
        <w:pStyle w:val="Listenabsatz"/>
        <w:numPr>
          <w:ilvl w:val="0"/>
          <w:numId w:val="3"/>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Through our extensive network of National Open Access Desks in 33 European countries that advocate for Green OA so researchers deposit print/post print publications in institutional or thematic repositories, and for Gold OA so that they use FP7 funds to pu</w:t>
      </w:r>
      <w:r>
        <w:rPr>
          <w:rFonts w:ascii="Times New Roman" w:hAnsi="Times New Roman" w:cs="Times New Roman"/>
          <w:noProof/>
          <w:sz w:val="24"/>
          <w:szCs w:val="24"/>
        </w:rPr>
        <w:t xml:space="preserve">blish in OA journals. Fully OpenAIRE compliant repositories automatically identify and report these publications. </w:t>
      </w:r>
    </w:p>
    <w:p w:rsidR="00E535A0" w:rsidRDefault="00E535A0">
      <w:pPr>
        <w:pStyle w:val="Listenabsatz"/>
        <w:spacing w:after="120" w:line="240" w:lineRule="auto"/>
        <w:ind w:left="360"/>
        <w:jc w:val="both"/>
        <w:rPr>
          <w:rFonts w:ascii="Times New Roman" w:hAnsi="Times New Roman" w:cs="Times New Roman"/>
          <w:noProof/>
          <w:sz w:val="24"/>
          <w:szCs w:val="24"/>
        </w:rPr>
      </w:pPr>
    </w:p>
    <w:p w:rsidR="00E535A0" w:rsidRDefault="00C953F5">
      <w:pPr>
        <w:pStyle w:val="Listenabsatz"/>
        <w:numPr>
          <w:ilvl w:val="0"/>
          <w:numId w:val="3"/>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Integration of EC’s reporting databases (SESAM) into OpenAIRE data, after this is cross checked with existing OpenAIRE data and CrossRef.</w:t>
      </w:r>
    </w:p>
    <w:p w:rsidR="00E535A0" w:rsidRDefault="00E535A0">
      <w:pPr>
        <w:pStyle w:val="Listenabsatz"/>
        <w:spacing w:after="120" w:line="240" w:lineRule="auto"/>
        <w:ind w:left="360"/>
        <w:jc w:val="both"/>
        <w:rPr>
          <w:rFonts w:ascii="Times New Roman" w:hAnsi="Times New Roman" w:cs="Times New Roman"/>
          <w:noProof/>
          <w:sz w:val="24"/>
          <w:szCs w:val="24"/>
        </w:rPr>
      </w:pPr>
    </w:p>
    <w:p w:rsidR="00E535A0" w:rsidRDefault="00C953F5">
      <w:pPr>
        <w:pStyle w:val="Listenabsatz"/>
        <w:numPr>
          <w:ilvl w:val="0"/>
          <w:numId w:val="3"/>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Claims on the portal from researchers or project coordinators: </w:t>
      </w:r>
      <w:r>
        <w:rPr>
          <w:rFonts w:ascii="Times New Roman" w:hAnsi="Times New Roman" w:cs="Times New Roman"/>
          <w:noProof/>
          <w:sz w:val="24"/>
          <w:szCs w:val="24"/>
          <w:u w:val="single"/>
        </w:rPr>
        <w:t>5,254</w:t>
      </w:r>
      <w:r>
        <w:rPr>
          <w:rFonts w:ascii="Times New Roman" w:hAnsi="Times New Roman" w:cs="Times New Roman"/>
          <w:noProof/>
          <w:sz w:val="24"/>
          <w:szCs w:val="24"/>
        </w:rPr>
        <w:t xml:space="preserve"> publications claimed by </w:t>
      </w:r>
      <w:r>
        <w:rPr>
          <w:rFonts w:ascii="Times New Roman" w:hAnsi="Times New Roman" w:cs="Times New Roman"/>
          <w:noProof/>
          <w:sz w:val="24"/>
          <w:szCs w:val="24"/>
          <w:u w:val="single"/>
        </w:rPr>
        <w:t>323</w:t>
      </w:r>
      <w:r>
        <w:rPr>
          <w:rFonts w:ascii="Times New Roman" w:hAnsi="Times New Roman" w:cs="Times New Roman"/>
          <w:noProof/>
          <w:sz w:val="24"/>
          <w:szCs w:val="24"/>
        </w:rPr>
        <w:t xml:space="preserve"> users over a period of 2+ years.</w:t>
      </w:r>
    </w:p>
    <w:p w:rsidR="00E535A0" w:rsidRDefault="00E535A0">
      <w:pPr>
        <w:pStyle w:val="Listenabsatz"/>
        <w:spacing w:after="120" w:line="240" w:lineRule="auto"/>
        <w:ind w:left="360"/>
        <w:jc w:val="both"/>
        <w:rPr>
          <w:rFonts w:ascii="Times New Roman" w:hAnsi="Times New Roman" w:cs="Times New Roman"/>
          <w:noProof/>
          <w:sz w:val="24"/>
          <w:szCs w:val="24"/>
        </w:rPr>
      </w:pPr>
    </w:p>
    <w:p w:rsidR="00E535A0" w:rsidRDefault="00C953F5">
      <w:pPr>
        <w:pStyle w:val="Listenabsatz"/>
        <w:numPr>
          <w:ilvl w:val="0"/>
          <w:numId w:val="3"/>
        </w:num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Text mining for FP7 grants in the full text of publications which mostly come from thematic repositories (arXiv, PMC Europe),</w:t>
      </w:r>
      <w:r>
        <w:rPr>
          <w:rFonts w:ascii="Times New Roman" w:hAnsi="Times New Roman" w:cs="Times New Roman"/>
          <w:noProof/>
          <w:sz w:val="24"/>
          <w:szCs w:val="24"/>
        </w:rPr>
        <w:t xml:space="preserve"> IRs with which OpenAIRE has bilateral agreements (CNR-PUMA, Fraunhofer, etc.), and one scholarly society (ACM).</w:t>
      </w:r>
    </w:p>
    <w:p w:rsidR="00E535A0" w:rsidRDefault="00C953F5">
      <w:pPr>
        <w:pStyle w:val="berschrift2"/>
        <w:rPr>
          <w:noProof/>
          <w:szCs w:val="24"/>
        </w:rPr>
      </w:pPr>
      <w:r>
        <w:rPr>
          <w:noProof/>
          <w:szCs w:val="24"/>
        </w:rPr>
        <w:t>Where did this data come from?</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OpenAIRE retrieves its data from a variety of data sources: institutional and thematic repositories, OA journals</w:t>
      </w:r>
      <w:r>
        <w:rPr>
          <w:rFonts w:ascii="Times New Roman" w:hAnsi="Times New Roman" w:cs="Times New Roman"/>
          <w:noProof/>
          <w:sz w:val="24"/>
          <w:szCs w:val="24"/>
        </w:rPr>
        <w:t xml:space="preserve">, EC databases from project reporting, claims by researchers or project coordinators on the OpenAIRE portal, and various publishers databases. Some of this metadata is ingested into the system in a periodic manner (e.g., harvesting) and some in a once-off </w:t>
      </w:r>
      <w:r>
        <w:rPr>
          <w:rFonts w:ascii="Times New Roman" w:hAnsi="Times New Roman" w:cs="Times New Roman"/>
          <w:noProof/>
          <w:sz w:val="24"/>
          <w:szCs w:val="24"/>
        </w:rPr>
        <w:t xml:space="preserve">manner (e.g., delivery of EC databases). Once we retrieve the metadata we apply an intensive and continuous cycle of cleaning, enriching, de-duplication and re-cleaning processes in order to increase the quality that leads to meaningful statistics. </w:t>
      </w:r>
    </w:p>
    <w:p w:rsidR="00E535A0" w:rsidRDefault="00C953F5">
      <w:pPr>
        <w:pStyle w:val="Beschriftung"/>
        <w:keepNext/>
        <w:rPr>
          <w:rFonts w:ascii="Times New Roman" w:hAnsi="Times New Roman" w:cs="Times New Roman"/>
          <w:noProof/>
          <w:lang w:val="en-GB"/>
        </w:rPr>
      </w:pPr>
      <w:r>
        <w:rPr>
          <w:rFonts w:ascii="Times New Roman" w:hAnsi="Times New Roman" w:cs="Times New Roman"/>
          <w:noProof/>
          <w:lang w:val="en-GB"/>
        </w:rPr>
        <w:t xml:space="preserve">Table </w:t>
      </w:r>
      <w:r>
        <w:rPr>
          <w:rFonts w:ascii="Times New Roman" w:hAnsi="Times New Roman" w:cs="Times New Roman"/>
          <w:noProof/>
          <w:lang w:val="en-GB"/>
        </w:rPr>
        <w:fldChar w:fldCharType="begin"/>
      </w:r>
      <w:r>
        <w:rPr>
          <w:rFonts w:ascii="Times New Roman" w:hAnsi="Times New Roman" w:cs="Times New Roman"/>
          <w:noProof/>
          <w:lang w:val="en-GB"/>
        </w:rPr>
        <w:instrText xml:space="preserve"> SEQ Table \* ARABIC </w:instrText>
      </w:r>
      <w:r>
        <w:rPr>
          <w:rFonts w:ascii="Times New Roman" w:hAnsi="Times New Roman" w:cs="Times New Roman"/>
          <w:noProof/>
          <w:lang w:val="en-GB"/>
        </w:rPr>
        <w:fldChar w:fldCharType="separate"/>
      </w:r>
      <w:r>
        <w:rPr>
          <w:rFonts w:ascii="Times New Roman" w:hAnsi="Times New Roman" w:cs="Times New Roman"/>
          <w:noProof/>
          <w:lang w:val="en-GB"/>
        </w:rPr>
        <w:t>1</w:t>
      </w:r>
      <w:r>
        <w:rPr>
          <w:rFonts w:ascii="Times New Roman" w:hAnsi="Times New Roman" w:cs="Times New Roman"/>
          <w:noProof/>
          <w:lang w:val="en-GB"/>
        </w:rPr>
        <w:fldChar w:fldCharType="end"/>
      </w:r>
      <w:r>
        <w:rPr>
          <w:rFonts w:ascii="Times New Roman" w:hAnsi="Times New Roman" w:cs="Times New Roman"/>
          <w:noProof/>
          <w:lang w:val="en-GB"/>
        </w:rPr>
        <w:t>. Publications from OpenAIRE data sources.</w:t>
      </w:r>
    </w:p>
    <w:tbl>
      <w:tblPr>
        <w:tblStyle w:val="MittlereListe2-Akzent5"/>
        <w:tblW w:w="0" w:type="auto"/>
        <w:tblLayout w:type="fixed"/>
        <w:tblLook w:val="04A0" w:firstRow="1" w:lastRow="0" w:firstColumn="1" w:lastColumn="0" w:noHBand="0" w:noVBand="1"/>
      </w:tblPr>
      <w:tblGrid>
        <w:gridCol w:w="3652"/>
        <w:gridCol w:w="2268"/>
        <w:gridCol w:w="2410"/>
      </w:tblGrid>
      <w:tr w:rsidR="00E535A0" w:rsidTr="00E535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52" w:type="dxa"/>
            <w:noWrap/>
            <w:hideMark/>
          </w:tcPr>
          <w:p w:rsidR="00E535A0" w:rsidRDefault="00C953F5">
            <w:pPr>
              <w:rPr>
                <w:rFonts w:ascii="Calibri" w:eastAsia="Times New Roman" w:hAnsi="Calibri" w:cs="Times New Roman"/>
                <w:noProof/>
                <w:color w:val="000000"/>
                <w:lang w:val="en-GB"/>
              </w:rPr>
            </w:pPr>
            <w:r>
              <w:rPr>
                <w:rFonts w:ascii="Calibri" w:eastAsia="Times New Roman" w:hAnsi="Calibri" w:cs="Times New Roman"/>
                <w:noProof/>
                <w:color w:val="000000"/>
                <w:lang w:val="en-GB"/>
              </w:rPr>
              <w:t>Data source type</w:t>
            </w:r>
          </w:p>
        </w:tc>
        <w:tc>
          <w:tcPr>
            <w:tcW w:w="2268" w:type="dxa"/>
            <w:noWrap/>
            <w:hideMark/>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lang w:val="en-GB"/>
              </w:rPr>
            </w:pPr>
            <w:r>
              <w:rPr>
                <w:rFonts w:ascii="Calibri" w:eastAsia="Times New Roman" w:hAnsi="Calibri" w:cs="Times New Roman"/>
                <w:noProof/>
                <w:color w:val="000000"/>
                <w:lang w:val="en-GB"/>
              </w:rPr>
              <w:t>Total publications</w:t>
            </w:r>
          </w:p>
        </w:tc>
        <w:tc>
          <w:tcPr>
            <w:tcW w:w="2410" w:type="dxa"/>
            <w:noWrap/>
            <w:hideMark/>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lang w:val="en-GB"/>
              </w:rPr>
            </w:pPr>
            <w:r>
              <w:rPr>
                <w:rFonts w:ascii="Calibri" w:eastAsia="Times New Roman" w:hAnsi="Calibri" w:cs="Times New Roman"/>
                <w:noProof/>
                <w:color w:val="000000"/>
                <w:lang w:val="en-GB"/>
              </w:rPr>
              <w:t>OA publications</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hideMark/>
          </w:tcPr>
          <w:p w:rsidR="00E535A0" w:rsidRDefault="00C953F5">
            <w:pPr>
              <w:rPr>
                <w:rFonts w:eastAsia="Times New Roman" w:cs="Times New Roman"/>
                <w:noProof/>
                <w:color w:val="000000"/>
                <w:sz w:val="22"/>
                <w:szCs w:val="22"/>
                <w:lang w:val="en-GB"/>
              </w:rPr>
            </w:pPr>
            <w:r>
              <w:rPr>
                <w:noProof/>
                <w:sz w:val="22"/>
                <w:lang w:val="en-GB"/>
              </w:rPr>
              <w:t xml:space="preserve">Publication Repository                 </w:t>
            </w:r>
          </w:p>
        </w:tc>
        <w:tc>
          <w:tcPr>
            <w:tcW w:w="2268"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140798</w:t>
            </w:r>
          </w:p>
        </w:tc>
        <w:tc>
          <w:tcPr>
            <w:tcW w:w="2410"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64317</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3652" w:type="dxa"/>
            <w:noWrap/>
            <w:hideMark/>
          </w:tcPr>
          <w:p w:rsidR="00E535A0" w:rsidRDefault="00C953F5">
            <w:pPr>
              <w:rPr>
                <w:rFonts w:eastAsia="Times New Roman" w:cs="Times New Roman"/>
                <w:noProof/>
                <w:color w:val="000000"/>
                <w:sz w:val="22"/>
                <w:szCs w:val="22"/>
                <w:lang w:val="en-GB"/>
              </w:rPr>
            </w:pPr>
            <w:r>
              <w:rPr>
                <w:noProof/>
                <w:sz w:val="22"/>
                <w:lang w:val="en-GB"/>
              </w:rPr>
              <w:t xml:space="preserve"> Publication Catalogue                  </w:t>
            </w:r>
          </w:p>
        </w:tc>
        <w:tc>
          <w:tcPr>
            <w:tcW w:w="2268"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89947</w:t>
            </w:r>
          </w:p>
        </w:tc>
        <w:tc>
          <w:tcPr>
            <w:tcW w:w="2410"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55868</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hideMark/>
          </w:tcPr>
          <w:p w:rsidR="00E535A0" w:rsidRDefault="00C953F5">
            <w:pPr>
              <w:rPr>
                <w:rFonts w:eastAsia="Times New Roman" w:cs="Times New Roman"/>
                <w:noProof/>
                <w:color w:val="000000"/>
                <w:sz w:val="22"/>
                <w:szCs w:val="22"/>
                <w:lang w:val="en-GB"/>
              </w:rPr>
            </w:pPr>
            <w:r>
              <w:rPr>
                <w:noProof/>
                <w:sz w:val="22"/>
                <w:lang w:val="en-GB"/>
              </w:rPr>
              <w:t xml:space="preserve"> Information Space                      </w:t>
            </w:r>
          </w:p>
        </w:tc>
        <w:tc>
          <w:tcPr>
            <w:tcW w:w="2268"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65512</w:t>
            </w:r>
          </w:p>
        </w:tc>
        <w:tc>
          <w:tcPr>
            <w:tcW w:w="2410"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40475</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3652" w:type="dxa"/>
            <w:noWrap/>
            <w:hideMark/>
          </w:tcPr>
          <w:p w:rsidR="00E535A0" w:rsidRDefault="00C953F5">
            <w:pPr>
              <w:rPr>
                <w:rFonts w:eastAsia="Times New Roman" w:cs="Times New Roman"/>
                <w:noProof/>
                <w:color w:val="000000"/>
                <w:sz w:val="22"/>
                <w:szCs w:val="22"/>
                <w:lang w:val="en-GB"/>
              </w:rPr>
            </w:pPr>
            <w:r>
              <w:rPr>
                <w:noProof/>
                <w:sz w:val="22"/>
                <w:lang w:val="en-GB"/>
              </w:rPr>
              <w:t xml:space="preserve"> Thematic Publication Repository        </w:t>
            </w:r>
          </w:p>
        </w:tc>
        <w:tc>
          <w:tcPr>
            <w:tcW w:w="2268"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55936</w:t>
            </w:r>
          </w:p>
        </w:tc>
        <w:tc>
          <w:tcPr>
            <w:tcW w:w="2410"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35842</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hideMark/>
          </w:tcPr>
          <w:p w:rsidR="00E535A0" w:rsidRDefault="00C953F5">
            <w:pPr>
              <w:rPr>
                <w:rFonts w:eastAsia="Times New Roman" w:cs="Times New Roman"/>
                <w:noProof/>
                <w:color w:val="000000"/>
                <w:sz w:val="22"/>
                <w:szCs w:val="22"/>
                <w:lang w:val="en-GB"/>
              </w:rPr>
            </w:pPr>
            <w:r>
              <w:rPr>
                <w:noProof/>
                <w:sz w:val="22"/>
                <w:lang w:val="en-GB"/>
              </w:rPr>
              <w:t xml:space="preserve"> Institutional Publication Repository   </w:t>
            </w:r>
          </w:p>
        </w:tc>
        <w:tc>
          <w:tcPr>
            <w:tcW w:w="2268"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40971</w:t>
            </w:r>
          </w:p>
        </w:tc>
        <w:tc>
          <w:tcPr>
            <w:tcW w:w="2410"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29865</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3652" w:type="dxa"/>
            <w:noWrap/>
            <w:hideMark/>
          </w:tcPr>
          <w:p w:rsidR="00E535A0" w:rsidRDefault="00C953F5">
            <w:pPr>
              <w:rPr>
                <w:rFonts w:eastAsia="Times New Roman" w:cs="Times New Roman"/>
                <w:noProof/>
                <w:color w:val="000000"/>
                <w:sz w:val="22"/>
                <w:szCs w:val="22"/>
                <w:lang w:val="en-GB"/>
              </w:rPr>
            </w:pPr>
            <w:r>
              <w:rPr>
                <w:noProof/>
                <w:sz w:val="22"/>
                <w:lang w:val="en-GB"/>
              </w:rPr>
              <w:t xml:space="preserve"> Journal Platform                       </w:t>
            </w:r>
          </w:p>
        </w:tc>
        <w:tc>
          <w:tcPr>
            <w:tcW w:w="2268"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9060</w:t>
            </w:r>
          </w:p>
        </w:tc>
        <w:tc>
          <w:tcPr>
            <w:tcW w:w="2410"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8988</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Aggregator/Publisher of Jou</w:t>
            </w:r>
            <w:r>
              <w:rPr>
                <w:noProof/>
                <w:sz w:val="22"/>
                <w:lang w:val="en-GB"/>
              </w:rPr>
              <w:t xml:space="preserve">rnals       </w:t>
            </w:r>
          </w:p>
        </w:tc>
        <w:tc>
          <w:tcPr>
            <w:tcW w:w="2268"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8473</w:t>
            </w:r>
          </w:p>
        </w:tc>
        <w:tc>
          <w:tcPr>
            <w:tcW w:w="2410"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8473</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Other Source                           </w:t>
            </w:r>
          </w:p>
        </w:tc>
        <w:tc>
          <w:tcPr>
            <w:tcW w:w="2268" w:type="dxa"/>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2615</w:t>
            </w:r>
          </w:p>
        </w:tc>
        <w:tc>
          <w:tcPr>
            <w:tcW w:w="2410" w:type="dxa"/>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1322</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Aggregator of Publication Repositories </w:t>
            </w:r>
          </w:p>
        </w:tc>
        <w:tc>
          <w:tcPr>
            <w:tcW w:w="2268"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1276</w:t>
            </w:r>
          </w:p>
        </w:tc>
        <w:tc>
          <w:tcPr>
            <w:tcW w:w="2410"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956</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Data Repository                        </w:t>
            </w:r>
          </w:p>
        </w:tc>
        <w:tc>
          <w:tcPr>
            <w:tcW w:w="2268" w:type="dxa"/>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388</w:t>
            </w:r>
          </w:p>
        </w:tc>
        <w:tc>
          <w:tcPr>
            <w:tcW w:w="2410" w:type="dxa"/>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195</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Scholarly Communication Infrastructure </w:t>
            </w:r>
          </w:p>
        </w:tc>
        <w:tc>
          <w:tcPr>
            <w:tcW w:w="2268"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129</w:t>
            </w:r>
          </w:p>
        </w:tc>
        <w:tc>
          <w:tcPr>
            <w:tcW w:w="2410"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124</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Entity Registry                        </w:t>
            </w:r>
          </w:p>
        </w:tc>
        <w:tc>
          <w:tcPr>
            <w:tcW w:w="2268" w:type="dxa"/>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53</w:t>
            </w:r>
          </w:p>
        </w:tc>
        <w:tc>
          <w:tcPr>
            <w:tcW w:w="2410" w:type="dxa"/>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46</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noWrap/>
          </w:tcPr>
          <w:p w:rsidR="00E535A0" w:rsidRDefault="00C953F5">
            <w:pPr>
              <w:rPr>
                <w:rFonts w:eastAsia="Times New Roman" w:cs="Times New Roman"/>
                <w:noProof/>
                <w:color w:val="000000"/>
                <w:sz w:val="22"/>
                <w:szCs w:val="22"/>
                <w:lang w:val="en-GB"/>
              </w:rPr>
            </w:pPr>
            <w:r>
              <w:rPr>
                <w:noProof/>
                <w:sz w:val="22"/>
                <w:lang w:val="en-GB"/>
              </w:rPr>
              <w:t xml:space="preserve"> Aggregator of Data Repositories        </w:t>
            </w:r>
          </w:p>
        </w:tc>
        <w:tc>
          <w:tcPr>
            <w:tcW w:w="2268"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noProof/>
                <w:sz w:val="22"/>
                <w:lang w:val="en-GB"/>
              </w:rPr>
              <w:t xml:space="preserve">      5</w:t>
            </w:r>
          </w:p>
        </w:tc>
        <w:tc>
          <w:tcPr>
            <w:tcW w:w="2410" w:type="dxa"/>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Times New Roman"/>
                <w:noProof/>
                <w:sz w:val="22"/>
                <w:lang w:val="en-GB"/>
              </w:rPr>
              <w:t xml:space="preserve">     5</w:t>
            </w:r>
          </w:p>
        </w:tc>
      </w:tr>
    </w:tbl>
    <w:p w:rsidR="00E535A0" w:rsidRDefault="00E535A0">
      <w:pPr>
        <w:rPr>
          <w:noProof/>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We have noticed a clear upward trend in institutional and thematic repository deposition.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_Ref301345083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the figures for institutional repositories with data recorded from the past two years of OpenAIRE operation, while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_Ref301345685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Figure </w:t>
      </w:r>
      <w:r>
        <w:rPr>
          <w:rFonts w:ascii="Times New Roman" w:hAnsi="Times New Roman" w:cs="Times New Roman"/>
          <w:noProof/>
          <w:sz w:val="24"/>
          <w:szCs w:val="24"/>
        </w:rPr>
        <w:fldChar w:fldCharType="end"/>
      </w:r>
      <w:r>
        <w:rPr>
          <w:rFonts w:ascii="Times New Roman" w:hAnsi="Times New Roman" w:cs="Times New Roman"/>
          <w:noProof/>
          <w:sz w:val="24"/>
          <w:szCs w:val="24"/>
        </w:rPr>
        <w:t>1 shows the most “active” repositories.</w:t>
      </w:r>
    </w:p>
    <w:p w:rsidR="00E535A0" w:rsidRDefault="00E535A0">
      <w:pPr>
        <w:rPr>
          <w:noProof/>
        </w:rPr>
      </w:pPr>
    </w:p>
    <w:p w:rsidR="00E535A0" w:rsidRDefault="00C953F5">
      <w:pPr>
        <w:keepNext/>
        <w:jc w:val="center"/>
        <w:rPr>
          <w:noProof/>
        </w:rPr>
      </w:pPr>
      <w:r>
        <w:rPr>
          <w:noProof/>
          <w:lang w:val="de-DE" w:eastAsia="de-DE"/>
          <w14:ligatures w14:val="standardContextual"/>
        </w:rPr>
        <w:drawing>
          <wp:inline distT="0" distB="0" distL="0" distR="0">
            <wp:extent cx="5219700" cy="2933700"/>
            <wp:effectExtent l="0" t="0" r="1270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noProof/>
        </w:rPr>
        <w:t xml:space="preserve"> </w:t>
      </w:r>
    </w:p>
    <w:p w:rsidR="00E535A0" w:rsidRDefault="00C953F5">
      <w:pPr>
        <w:pStyle w:val="Beschriftung"/>
        <w:jc w:val="center"/>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Pr>
          <w:noProof/>
          <w:lang w:val="en-GB"/>
        </w:rPr>
        <w:t>1</w:t>
      </w:r>
      <w:r>
        <w:rPr>
          <w:noProof/>
          <w:lang w:val="en-GB"/>
        </w:rPr>
        <w:fldChar w:fldCharType="end"/>
      </w:r>
      <w:r>
        <w:rPr>
          <w:noProof/>
          <w:lang w:val="en-GB"/>
        </w:rPr>
        <w:t>. FP7 publications in institutional repositories over time.</w:t>
      </w:r>
      <w:r>
        <w:rPr>
          <w:noProof/>
          <w:highlight w:val="yellow"/>
          <w:lang w:val="en-GB"/>
        </w:rPr>
        <w:t xml:space="preserve"> </w:t>
      </w:r>
    </w:p>
    <w:p w:rsidR="00E535A0" w:rsidRDefault="00E535A0">
      <w:pPr>
        <w:keepNext/>
        <w:jc w:val="center"/>
        <w:rPr>
          <w:noProof/>
        </w:rPr>
      </w:pPr>
    </w:p>
    <w:p w:rsidR="00E535A0" w:rsidRDefault="00C953F5">
      <w:pPr>
        <w:pStyle w:val="berschrift2"/>
        <w:rPr>
          <w:noProof/>
        </w:rPr>
      </w:pPr>
      <w:r>
        <w:rPr>
          <w:noProof/>
        </w:rPr>
        <w:t>What type of publications?</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 xml:space="preserve">The typology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_Ref302036581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is based on the OpenAIRE guidelines vocabulary</w:t>
      </w:r>
      <w:r>
        <w:rPr>
          <w:rFonts w:ascii="Times New Roman" w:hAnsi="Times New Roman" w:cs="Times New Roman"/>
          <w:noProof/>
          <w:sz w:val="24"/>
          <w:szCs w:val="24"/>
          <w:vertAlign w:val="superscript"/>
        </w:rPr>
        <w:footnoteReference w:id="90"/>
      </w:r>
      <w:r>
        <w:rPr>
          <w:rFonts w:ascii="Times New Roman" w:hAnsi="Times New Roman" w:cs="Times New Roman"/>
          <w:noProof/>
          <w:sz w:val="24"/>
          <w:szCs w:val="24"/>
        </w:rPr>
        <w:t>. A new vocabulary for publication/resource types is under discussion under the umbrella of COAR</w:t>
      </w:r>
      <w:r>
        <w:rPr>
          <w:rStyle w:val="Funotenzeichen"/>
          <w:rFonts w:ascii="Times New Roman" w:hAnsi="Times New Roman" w:cs="Times New Roman"/>
          <w:noProof/>
          <w:sz w:val="24"/>
          <w:szCs w:val="24"/>
        </w:rPr>
        <w:footnoteReference w:id="91"/>
      </w:r>
      <w:r>
        <w:rPr>
          <w:rFonts w:ascii="Times New Roman" w:hAnsi="Times New Roman" w:cs="Times New Roman"/>
          <w:noProof/>
          <w:sz w:val="24"/>
          <w:szCs w:val="24"/>
        </w:rPr>
        <w:t xml:space="preserve">. </w:t>
      </w:r>
    </w:p>
    <w:p w:rsidR="00E535A0" w:rsidRDefault="00C953F5">
      <w:pPr>
        <w:spacing w:after="0"/>
        <w:rPr>
          <w:noProof/>
        </w:rPr>
      </w:pPr>
      <w:bookmarkStart w:id="51" w:name="_Ref302036581"/>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51"/>
      <w:r>
        <w:rPr>
          <w:noProof/>
        </w:rPr>
        <w:t>. FP7 publications by type</w:t>
      </w:r>
    </w:p>
    <w:tbl>
      <w:tblPr>
        <w:tblStyle w:val="MittlereListe2-Akzent5"/>
        <w:tblW w:w="6754" w:type="dxa"/>
        <w:tblLook w:val="0420" w:firstRow="1" w:lastRow="0" w:firstColumn="0" w:lastColumn="0" w:noHBand="0" w:noVBand="1"/>
      </w:tblPr>
      <w:tblGrid>
        <w:gridCol w:w="5353"/>
        <w:gridCol w:w="1401"/>
      </w:tblGrid>
      <w:tr w:rsidR="00E535A0" w:rsidTr="00E535A0">
        <w:trPr>
          <w:cnfStyle w:val="100000000000" w:firstRow="1" w:lastRow="0" w:firstColumn="0" w:lastColumn="0" w:oddVBand="0" w:evenVBand="0" w:oddHBand="0" w:evenHBand="0" w:firstRowFirstColumn="0" w:firstRowLastColumn="0" w:lastRowFirstColumn="0" w:lastRowLastColumn="0"/>
          <w:trHeight w:val="300"/>
        </w:trPr>
        <w:tc>
          <w:tcPr>
            <w:tcW w:w="5353" w:type="dxa"/>
            <w:noWrap/>
            <w:hideMark/>
          </w:tcPr>
          <w:p w:rsidR="00E535A0" w:rsidRDefault="00C953F5">
            <w:pPr>
              <w:rPr>
                <w:rFonts w:ascii="Calibri" w:eastAsia="Times New Roman" w:hAnsi="Calibri" w:cs="Times New Roman"/>
                <w:noProof/>
                <w:color w:val="000000"/>
                <w:lang w:val="en-GB"/>
              </w:rPr>
            </w:pPr>
            <w:r>
              <w:rPr>
                <w:rFonts w:ascii="Calibri" w:eastAsia="Times New Roman" w:hAnsi="Calibri" w:cs="Times New Roman"/>
                <w:noProof/>
                <w:color w:val="000000"/>
                <w:lang w:val="en-GB"/>
              </w:rPr>
              <w:t>Type</w:t>
            </w:r>
          </w:p>
        </w:tc>
        <w:tc>
          <w:tcPr>
            <w:tcW w:w="1401" w:type="dxa"/>
            <w:noWrap/>
            <w:hideMark/>
          </w:tcPr>
          <w:p w:rsidR="00E535A0" w:rsidRDefault="00C953F5">
            <w:pPr>
              <w:rPr>
                <w:rFonts w:ascii="Calibri" w:eastAsia="Times New Roman" w:hAnsi="Calibri" w:cs="Times New Roman"/>
                <w:noProof/>
                <w:color w:val="000000"/>
                <w:lang w:val="en-GB"/>
              </w:rPr>
            </w:pPr>
            <w:r>
              <w:rPr>
                <w:rFonts w:ascii="Calibri" w:eastAsia="Times New Roman" w:hAnsi="Calibri" w:cs="Times New Roman"/>
                <w:noProof/>
                <w:color w:val="000000"/>
                <w:lang w:val="en-GB"/>
              </w:rPr>
              <w:t>Publications</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Article</w:t>
            </w:r>
          </w:p>
        </w:tc>
        <w:tc>
          <w:tcPr>
            <w:tcW w:w="1401" w:type="dxa"/>
            <w:noWrap/>
            <w:hideMark/>
          </w:tcPr>
          <w:p w:rsidR="00E535A0" w:rsidRDefault="00C953F5">
            <w:pPr>
              <w:rPr>
                <w:noProof/>
                <w:lang w:val="en-GB"/>
              </w:rPr>
            </w:pPr>
            <w:r>
              <w:rPr>
                <w:noProof/>
                <w:lang w:val="en-GB"/>
              </w:rPr>
              <w:t>151751</w:t>
            </w:r>
          </w:p>
        </w:tc>
      </w:tr>
      <w:tr w:rsidR="00E535A0" w:rsidTr="00E535A0">
        <w:trPr>
          <w:trHeight w:val="300"/>
        </w:trPr>
        <w:tc>
          <w:tcPr>
            <w:tcW w:w="5353" w:type="dxa"/>
            <w:noWrap/>
            <w:hideMark/>
          </w:tcPr>
          <w:p w:rsidR="00E535A0" w:rsidRDefault="00C953F5">
            <w:pPr>
              <w:rPr>
                <w:noProof/>
                <w:lang w:val="en-GB"/>
              </w:rPr>
            </w:pPr>
            <w:r>
              <w:rPr>
                <w:noProof/>
                <w:lang w:val="en-GB"/>
              </w:rPr>
              <w:t>Conference object</w:t>
            </w:r>
          </w:p>
        </w:tc>
        <w:tc>
          <w:tcPr>
            <w:tcW w:w="1401" w:type="dxa"/>
            <w:noWrap/>
            <w:hideMark/>
          </w:tcPr>
          <w:p w:rsidR="00E535A0" w:rsidRDefault="00C953F5">
            <w:pPr>
              <w:rPr>
                <w:noProof/>
                <w:lang w:val="en-GB"/>
              </w:rPr>
            </w:pPr>
            <w:r>
              <w:rPr>
                <w:noProof/>
                <w:lang w:val="en-GB"/>
              </w:rPr>
              <w:t>7024</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Unknown</w:t>
            </w:r>
          </w:p>
        </w:tc>
        <w:tc>
          <w:tcPr>
            <w:tcW w:w="1401" w:type="dxa"/>
            <w:noWrap/>
            <w:hideMark/>
          </w:tcPr>
          <w:p w:rsidR="00E535A0" w:rsidRDefault="00C953F5">
            <w:pPr>
              <w:rPr>
                <w:noProof/>
                <w:lang w:val="en-GB"/>
              </w:rPr>
            </w:pPr>
            <w:r>
              <w:rPr>
                <w:noProof/>
                <w:lang w:val="en-GB"/>
              </w:rPr>
              <w:t>3315</w:t>
            </w:r>
          </w:p>
        </w:tc>
      </w:tr>
      <w:tr w:rsidR="00E535A0" w:rsidTr="00E535A0">
        <w:trPr>
          <w:trHeight w:val="300"/>
        </w:trPr>
        <w:tc>
          <w:tcPr>
            <w:tcW w:w="5353" w:type="dxa"/>
            <w:noWrap/>
            <w:hideMark/>
          </w:tcPr>
          <w:p w:rsidR="00E535A0" w:rsidRDefault="00C953F5">
            <w:pPr>
              <w:rPr>
                <w:noProof/>
                <w:lang w:val="en-GB"/>
              </w:rPr>
            </w:pPr>
            <w:r>
              <w:rPr>
                <w:noProof/>
                <w:lang w:val="en-GB"/>
              </w:rPr>
              <w:t>Review</w:t>
            </w:r>
          </w:p>
        </w:tc>
        <w:tc>
          <w:tcPr>
            <w:tcW w:w="1401" w:type="dxa"/>
            <w:noWrap/>
            <w:hideMark/>
          </w:tcPr>
          <w:p w:rsidR="00E535A0" w:rsidRDefault="00C953F5">
            <w:pPr>
              <w:rPr>
                <w:noProof/>
                <w:lang w:val="en-GB"/>
              </w:rPr>
            </w:pPr>
            <w:r>
              <w:rPr>
                <w:noProof/>
                <w:lang w:val="en-GB"/>
              </w:rPr>
              <w:t>2843</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Part of book or chapter of book</w:t>
            </w:r>
          </w:p>
        </w:tc>
        <w:tc>
          <w:tcPr>
            <w:tcW w:w="1401" w:type="dxa"/>
            <w:noWrap/>
            <w:hideMark/>
          </w:tcPr>
          <w:p w:rsidR="00E535A0" w:rsidRDefault="00C953F5">
            <w:pPr>
              <w:rPr>
                <w:noProof/>
                <w:lang w:val="en-GB"/>
              </w:rPr>
            </w:pPr>
            <w:r>
              <w:rPr>
                <w:noProof/>
                <w:lang w:val="en-GB"/>
              </w:rPr>
              <w:t>1608</w:t>
            </w:r>
          </w:p>
        </w:tc>
      </w:tr>
      <w:tr w:rsidR="00E535A0" w:rsidTr="00E535A0">
        <w:trPr>
          <w:trHeight w:val="300"/>
        </w:trPr>
        <w:tc>
          <w:tcPr>
            <w:tcW w:w="5353" w:type="dxa"/>
            <w:noWrap/>
            <w:hideMark/>
          </w:tcPr>
          <w:p w:rsidR="00E535A0" w:rsidRDefault="00C953F5">
            <w:pPr>
              <w:rPr>
                <w:noProof/>
                <w:lang w:val="en-GB"/>
              </w:rPr>
            </w:pPr>
            <w:r>
              <w:rPr>
                <w:noProof/>
                <w:lang w:val="en-GB"/>
              </w:rPr>
              <w:t>Report</w:t>
            </w:r>
          </w:p>
        </w:tc>
        <w:tc>
          <w:tcPr>
            <w:tcW w:w="1401" w:type="dxa"/>
            <w:noWrap/>
            <w:hideMark/>
          </w:tcPr>
          <w:p w:rsidR="00E535A0" w:rsidRDefault="00C953F5">
            <w:pPr>
              <w:rPr>
                <w:noProof/>
                <w:lang w:val="en-GB"/>
              </w:rPr>
            </w:pPr>
            <w:r>
              <w:rPr>
                <w:noProof/>
                <w:lang w:val="en-GB"/>
              </w:rPr>
              <w:t>1290</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Research</w:t>
            </w:r>
          </w:p>
        </w:tc>
        <w:tc>
          <w:tcPr>
            <w:tcW w:w="1401" w:type="dxa"/>
            <w:noWrap/>
            <w:hideMark/>
          </w:tcPr>
          <w:p w:rsidR="00E535A0" w:rsidRDefault="00C953F5">
            <w:pPr>
              <w:rPr>
                <w:noProof/>
                <w:lang w:val="en-GB"/>
              </w:rPr>
            </w:pPr>
            <w:r>
              <w:rPr>
                <w:noProof/>
                <w:lang w:val="en-GB"/>
              </w:rPr>
              <w:t>976</w:t>
            </w:r>
          </w:p>
        </w:tc>
      </w:tr>
      <w:tr w:rsidR="00E535A0" w:rsidTr="00E535A0">
        <w:trPr>
          <w:trHeight w:val="300"/>
        </w:trPr>
        <w:tc>
          <w:tcPr>
            <w:tcW w:w="5353" w:type="dxa"/>
            <w:noWrap/>
            <w:hideMark/>
          </w:tcPr>
          <w:p w:rsidR="00E535A0" w:rsidRDefault="00C953F5">
            <w:pPr>
              <w:rPr>
                <w:noProof/>
                <w:lang w:val="en-GB"/>
              </w:rPr>
            </w:pPr>
            <w:r>
              <w:rPr>
                <w:noProof/>
                <w:lang w:val="en-GB"/>
              </w:rPr>
              <w:t>Preprint</w:t>
            </w:r>
          </w:p>
        </w:tc>
        <w:tc>
          <w:tcPr>
            <w:tcW w:w="1401" w:type="dxa"/>
            <w:noWrap/>
            <w:hideMark/>
          </w:tcPr>
          <w:p w:rsidR="00E535A0" w:rsidRDefault="00C953F5">
            <w:pPr>
              <w:rPr>
                <w:noProof/>
                <w:lang w:val="en-GB"/>
              </w:rPr>
            </w:pPr>
            <w:r>
              <w:rPr>
                <w:noProof/>
                <w:lang w:val="en-GB"/>
              </w:rPr>
              <w:t>975</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Other</w:t>
            </w:r>
          </w:p>
        </w:tc>
        <w:tc>
          <w:tcPr>
            <w:tcW w:w="1401" w:type="dxa"/>
            <w:noWrap/>
            <w:hideMark/>
          </w:tcPr>
          <w:p w:rsidR="00E535A0" w:rsidRDefault="00C953F5">
            <w:pPr>
              <w:rPr>
                <w:noProof/>
                <w:lang w:val="en-GB"/>
              </w:rPr>
            </w:pPr>
            <w:r>
              <w:rPr>
                <w:noProof/>
                <w:lang w:val="en-GB"/>
              </w:rPr>
              <w:t>437</w:t>
            </w:r>
          </w:p>
        </w:tc>
      </w:tr>
      <w:tr w:rsidR="00E535A0" w:rsidTr="00E535A0">
        <w:trPr>
          <w:trHeight w:val="300"/>
        </w:trPr>
        <w:tc>
          <w:tcPr>
            <w:tcW w:w="5353" w:type="dxa"/>
            <w:noWrap/>
            <w:hideMark/>
          </w:tcPr>
          <w:p w:rsidR="00E535A0" w:rsidRDefault="00C953F5">
            <w:pPr>
              <w:rPr>
                <w:noProof/>
                <w:lang w:val="en-GB"/>
              </w:rPr>
            </w:pPr>
            <w:r>
              <w:rPr>
                <w:noProof/>
                <w:lang w:val="en-GB"/>
              </w:rPr>
              <w:t>Doctoral thesis</w:t>
            </w:r>
          </w:p>
        </w:tc>
        <w:tc>
          <w:tcPr>
            <w:tcW w:w="1401" w:type="dxa"/>
            <w:noWrap/>
            <w:hideMark/>
          </w:tcPr>
          <w:p w:rsidR="00E535A0" w:rsidRDefault="00C953F5">
            <w:pPr>
              <w:rPr>
                <w:noProof/>
                <w:lang w:val="en-GB"/>
              </w:rPr>
            </w:pPr>
            <w:r>
              <w:rPr>
                <w:noProof/>
                <w:lang w:val="en-GB"/>
              </w:rPr>
              <w:t>413</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Book</w:t>
            </w:r>
          </w:p>
        </w:tc>
        <w:tc>
          <w:tcPr>
            <w:tcW w:w="1401" w:type="dxa"/>
            <w:noWrap/>
            <w:hideMark/>
          </w:tcPr>
          <w:p w:rsidR="00E535A0" w:rsidRDefault="00C953F5">
            <w:pPr>
              <w:rPr>
                <w:noProof/>
                <w:lang w:val="en-GB"/>
              </w:rPr>
            </w:pPr>
            <w:r>
              <w:rPr>
                <w:noProof/>
                <w:lang w:val="en-GB"/>
              </w:rPr>
              <w:t>343</w:t>
            </w:r>
          </w:p>
        </w:tc>
      </w:tr>
      <w:tr w:rsidR="00E535A0" w:rsidTr="00E535A0">
        <w:trPr>
          <w:trHeight w:val="300"/>
        </w:trPr>
        <w:tc>
          <w:tcPr>
            <w:tcW w:w="5353" w:type="dxa"/>
            <w:noWrap/>
            <w:hideMark/>
          </w:tcPr>
          <w:p w:rsidR="00E535A0" w:rsidRDefault="00C953F5">
            <w:pPr>
              <w:rPr>
                <w:noProof/>
                <w:lang w:val="en-GB"/>
              </w:rPr>
            </w:pPr>
            <w:r>
              <w:rPr>
                <w:noProof/>
                <w:lang w:val="en-GB"/>
              </w:rPr>
              <w:t>Master thesis</w:t>
            </w:r>
          </w:p>
        </w:tc>
        <w:tc>
          <w:tcPr>
            <w:tcW w:w="1401" w:type="dxa"/>
            <w:noWrap/>
            <w:hideMark/>
          </w:tcPr>
          <w:p w:rsidR="00E535A0" w:rsidRDefault="00C953F5">
            <w:pPr>
              <w:rPr>
                <w:noProof/>
                <w:lang w:val="en-GB"/>
              </w:rPr>
            </w:pPr>
            <w:r>
              <w:rPr>
                <w:noProof/>
                <w:lang w:val="en-GB"/>
              </w:rPr>
              <w:t>122</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Software</w:t>
            </w:r>
          </w:p>
        </w:tc>
        <w:tc>
          <w:tcPr>
            <w:tcW w:w="1401" w:type="dxa"/>
            <w:noWrap/>
            <w:hideMark/>
          </w:tcPr>
          <w:p w:rsidR="00E535A0" w:rsidRDefault="00C953F5">
            <w:pPr>
              <w:rPr>
                <w:noProof/>
                <w:lang w:val="en-GB"/>
              </w:rPr>
            </w:pPr>
            <w:r>
              <w:rPr>
                <w:noProof/>
                <w:lang w:val="en-GB"/>
              </w:rPr>
              <w:t>39</w:t>
            </w:r>
          </w:p>
        </w:tc>
      </w:tr>
      <w:tr w:rsidR="00E535A0" w:rsidTr="00E535A0">
        <w:trPr>
          <w:trHeight w:val="300"/>
        </w:trPr>
        <w:tc>
          <w:tcPr>
            <w:tcW w:w="5353" w:type="dxa"/>
            <w:noWrap/>
            <w:hideMark/>
          </w:tcPr>
          <w:p w:rsidR="00E535A0" w:rsidRDefault="00C953F5">
            <w:pPr>
              <w:rPr>
                <w:noProof/>
                <w:lang w:val="en-GB"/>
              </w:rPr>
            </w:pPr>
            <w:r>
              <w:rPr>
                <w:noProof/>
                <w:lang w:val="en-GB"/>
              </w:rPr>
              <w:t>Contribution for newspaper or weekly magazine</w:t>
            </w:r>
          </w:p>
        </w:tc>
        <w:tc>
          <w:tcPr>
            <w:tcW w:w="1401" w:type="dxa"/>
            <w:noWrap/>
            <w:hideMark/>
          </w:tcPr>
          <w:p w:rsidR="00E535A0" w:rsidRDefault="00C953F5">
            <w:pPr>
              <w:rPr>
                <w:noProof/>
                <w:lang w:val="en-GB"/>
              </w:rPr>
            </w:pPr>
            <w:r>
              <w:rPr>
                <w:noProof/>
                <w:lang w:val="en-GB"/>
              </w:rPr>
              <w:t>34</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hideMark/>
          </w:tcPr>
          <w:p w:rsidR="00E535A0" w:rsidRDefault="00C953F5">
            <w:pPr>
              <w:rPr>
                <w:noProof/>
                <w:lang w:val="en-GB"/>
              </w:rPr>
            </w:pPr>
            <w:r>
              <w:rPr>
                <w:noProof/>
                <w:lang w:val="en-GB"/>
              </w:rPr>
              <w:t>Lecture</w:t>
            </w:r>
          </w:p>
        </w:tc>
        <w:tc>
          <w:tcPr>
            <w:tcW w:w="1401" w:type="dxa"/>
            <w:noWrap/>
            <w:hideMark/>
          </w:tcPr>
          <w:p w:rsidR="00E535A0" w:rsidRDefault="00C953F5">
            <w:pPr>
              <w:rPr>
                <w:noProof/>
                <w:lang w:val="en-GB"/>
              </w:rPr>
            </w:pPr>
            <w:r>
              <w:rPr>
                <w:noProof/>
                <w:lang w:val="en-GB"/>
              </w:rPr>
              <w:t>33</w:t>
            </w:r>
          </w:p>
        </w:tc>
      </w:tr>
      <w:tr w:rsidR="00E535A0" w:rsidTr="00E535A0">
        <w:trPr>
          <w:trHeight w:val="300"/>
        </w:trPr>
        <w:tc>
          <w:tcPr>
            <w:tcW w:w="5353" w:type="dxa"/>
            <w:noWrap/>
          </w:tcPr>
          <w:p w:rsidR="00E535A0" w:rsidRDefault="00C953F5">
            <w:pPr>
              <w:rPr>
                <w:noProof/>
                <w:lang w:val="en-GB"/>
              </w:rPr>
            </w:pPr>
            <w:r>
              <w:rPr>
                <w:noProof/>
                <w:lang w:val="en-GB"/>
              </w:rPr>
              <w:t>Dataset</w:t>
            </w:r>
          </w:p>
        </w:tc>
        <w:tc>
          <w:tcPr>
            <w:tcW w:w="1401" w:type="dxa"/>
            <w:noWrap/>
          </w:tcPr>
          <w:p w:rsidR="00E535A0" w:rsidRDefault="00C953F5">
            <w:pPr>
              <w:rPr>
                <w:noProof/>
                <w:lang w:val="en-GB"/>
              </w:rPr>
            </w:pPr>
            <w:r>
              <w:rPr>
                <w:noProof/>
                <w:lang w:val="en-GB"/>
              </w:rPr>
              <w:t>22</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tcPr>
          <w:p w:rsidR="00E535A0" w:rsidRDefault="00C953F5">
            <w:pPr>
              <w:rPr>
                <w:noProof/>
                <w:lang w:val="en-GB"/>
              </w:rPr>
            </w:pPr>
            <w:r>
              <w:rPr>
                <w:noProof/>
                <w:lang w:val="en-GB"/>
              </w:rPr>
              <w:t>External research report</w:t>
            </w:r>
          </w:p>
        </w:tc>
        <w:tc>
          <w:tcPr>
            <w:tcW w:w="1401" w:type="dxa"/>
            <w:noWrap/>
          </w:tcPr>
          <w:p w:rsidR="00E535A0" w:rsidRDefault="00C953F5">
            <w:pPr>
              <w:rPr>
                <w:noProof/>
                <w:lang w:val="en-GB"/>
              </w:rPr>
            </w:pPr>
            <w:r>
              <w:rPr>
                <w:noProof/>
                <w:lang w:val="en-GB"/>
              </w:rPr>
              <w:t>15</w:t>
            </w:r>
          </w:p>
        </w:tc>
      </w:tr>
      <w:tr w:rsidR="00E535A0" w:rsidTr="00E535A0">
        <w:trPr>
          <w:trHeight w:val="300"/>
        </w:trPr>
        <w:tc>
          <w:tcPr>
            <w:tcW w:w="5353" w:type="dxa"/>
            <w:noWrap/>
          </w:tcPr>
          <w:p w:rsidR="00E535A0" w:rsidRDefault="00C953F5">
            <w:pPr>
              <w:rPr>
                <w:noProof/>
                <w:lang w:val="en-GB"/>
              </w:rPr>
            </w:pPr>
            <w:r>
              <w:rPr>
                <w:noProof/>
                <w:lang w:val="en-GB"/>
              </w:rPr>
              <w:t>Data Paper</w:t>
            </w:r>
          </w:p>
        </w:tc>
        <w:tc>
          <w:tcPr>
            <w:tcW w:w="1401" w:type="dxa"/>
            <w:noWrap/>
          </w:tcPr>
          <w:p w:rsidR="00E535A0" w:rsidRDefault="00C953F5">
            <w:pPr>
              <w:rPr>
                <w:noProof/>
                <w:lang w:val="en-GB"/>
              </w:rPr>
            </w:pPr>
            <w:r>
              <w:rPr>
                <w:noProof/>
                <w:lang w:val="en-GB"/>
              </w:rPr>
              <w:t>11</w:t>
            </w:r>
          </w:p>
        </w:tc>
      </w:tr>
      <w:tr w:rsidR="00E535A0" w:rsidTr="00E535A0">
        <w:trPr>
          <w:cnfStyle w:val="000000100000" w:firstRow="0" w:lastRow="0" w:firstColumn="0" w:lastColumn="0" w:oddVBand="0" w:evenVBand="0" w:oddHBand="1" w:evenHBand="0" w:firstRowFirstColumn="0" w:firstRowLastColumn="0" w:lastRowFirstColumn="0" w:lastRowLastColumn="0"/>
          <w:trHeight w:val="300"/>
        </w:trPr>
        <w:tc>
          <w:tcPr>
            <w:tcW w:w="5353" w:type="dxa"/>
            <w:noWrap/>
          </w:tcPr>
          <w:p w:rsidR="00E535A0" w:rsidRDefault="00C953F5">
            <w:pPr>
              <w:rPr>
                <w:noProof/>
                <w:lang w:val="en-GB"/>
              </w:rPr>
            </w:pPr>
            <w:r>
              <w:rPr>
                <w:noProof/>
                <w:lang w:val="en-GB"/>
              </w:rPr>
              <w:t>Bachelor thesis</w:t>
            </w:r>
          </w:p>
        </w:tc>
        <w:tc>
          <w:tcPr>
            <w:tcW w:w="1401" w:type="dxa"/>
            <w:noWrap/>
          </w:tcPr>
          <w:p w:rsidR="00E535A0" w:rsidRDefault="00C953F5">
            <w:pPr>
              <w:rPr>
                <w:noProof/>
                <w:lang w:val="en-GB"/>
              </w:rPr>
            </w:pPr>
            <w:r>
              <w:rPr>
                <w:noProof/>
                <w:lang w:val="en-GB"/>
              </w:rPr>
              <w:t>3</w:t>
            </w:r>
          </w:p>
        </w:tc>
      </w:tr>
      <w:tr w:rsidR="00E535A0" w:rsidTr="00E535A0">
        <w:trPr>
          <w:trHeight w:val="300"/>
        </w:trPr>
        <w:tc>
          <w:tcPr>
            <w:tcW w:w="5353" w:type="dxa"/>
            <w:tcBorders>
              <w:bottom w:val="nil"/>
            </w:tcBorders>
            <w:noWrap/>
          </w:tcPr>
          <w:p w:rsidR="00E535A0" w:rsidRDefault="00C953F5">
            <w:pPr>
              <w:rPr>
                <w:noProof/>
                <w:lang w:val="en-GB"/>
              </w:rPr>
            </w:pPr>
            <w:r>
              <w:rPr>
                <w:noProof/>
                <w:lang w:val="en-GB"/>
              </w:rPr>
              <w:t>Annotation</w:t>
            </w:r>
          </w:p>
        </w:tc>
        <w:tc>
          <w:tcPr>
            <w:tcW w:w="1401" w:type="dxa"/>
            <w:tcBorders>
              <w:bottom w:val="nil"/>
            </w:tcBorders>
            <w:noWrap/>
          </w:tcPr>
          <w:p w:rsidR="00E535A0" w:rsidRDefault="00C953F5">
            <w:pPr>
              <w:rPr>
                <w:noProof/>
                <w:lang w:val="en-GB"/>
              </w:rPr>
            </w:pPr>
            <w:r>
              <w:rPr>
                <w:noProof/>
                <w:lang w:val="en-GB"/>
              </w:rPr>
              <w:t>1</w:t>
            </w:r>
          </w:p>
        </w:tc>
      </w:tr>
      <w:tr w:rsidR="00E535A0" w:rsidTr="00E535A0">
        <w:trPr>
          <w:cnfStyle w:val="000000100000" w:firstRow="0" w:lastRow="0" w:firstColumn="0" w:lastColumn="0" w:oddVBand="0" w:evenVBand="0" w:oddHBand="1" w:evenHBand="0" w:firstRowFirstColumn="0" w:firstRowLastColumn="0" w:lastRowFirstColumn="0" w:lastRowLastColumn="0"/>
          <w:trHeight w:val="251"/>
        </w:trPr>
        <w:tc>
          <w:tcPr>
            <w:tcW w:w="5353" w:type="dxa"/>
            <w:tcBorders>
              <w:bottom w:val="single" w:sz="4" w:space="0" w:color="31849B" w:themeColor="accent5" w:themeShade="BF"/>
            </w:tcBorders>
            <w:noWrap/>
          </w:tcPr>
          <w:p w:rsidR="00E535A0" w:rsidRDefault="00C953F5">
            <w:pPr>
              <w:rPr>
                <w:noProof/>
                <w:lang w:val="en-GB"/>
              </w:rPr>
            </w:pPr>
            <w:r>
              <w:rPr>
                <w:noProof/>
                <w:lang w:val="en-GB"/>
              </w:rPr>
              <w:t>Patent</w:t>
            </w:r>
          </w:p>
        </w:tc>
        <w:tc>
          <w:tcPr>
            <w:tcW w:w="1401" w:type="dxa"/>
            <w:tcBorders>
              <w:bottom w:val="single" w:sz="4" w:space="0" w:color="31849B" w:themeColor="accent5" w:themeShade="BF"/>
            </w:tcBorders>
            <w:noWrap/>
          </w:tcPr>
          <w:p w:rsidR="00E535A0" w:rsidRDefault="00C953F5">
            <w:pPr>
              <w:rPr>
                <w:noProof/>
                <w:lang w:val="en-GB"/>
              </w:rPr>
            </w:pPr>
            <w:r>
              <w:rPr>
                <w:noProof/>
                <w:lang w:val="en-GB"/>
              </w:rPr>
              <w:t>1</w:t>
            </w:r>
          </w:p>
        </w:tc>
      </w:tr>
    </w:tbl>
    <w:p w:rsidR="00E535A0" w:rsidRDefault="00E535A0">
      <w:pPr>
        <w:keepNext/>
        <w:jc w:val="center"/>
        <w:rPr>
          <w:noProof/>
        </w:rPr>
      </w:pPr>
    </w:p>
    <w:p w:rsidR="00E535A0" w:rsidRDefault="00E535A0">
      <w:pPr>
        <w:keepNext/>
        <w:jc w:val="center"/>
        <w:rPr>
          <w:noProof/>
        </w:rPr>
      </w:pPr>
    </w:p>
    <w:p w:rsidR="00E535A0" w:rsidRDefault="00E535A0">
      <w:pPr>
        <w:keepNext/>
        <w:jc w:val="center"/>
        <w:rPr>
          <w:noProof/>
        </w:rPr>
      </w:pPr>
    </w:p>
    <w:p w:rsidR="00E535A0" w:rsidRDefault="00E535A0">
      <w:pPr>
        <w:keepNext/>
        <w:jc w:val="center"/>
        <w:rPr>
          <w:noProof/>
        </w:rPr>
      </w:pPr>
    </w:p>
    <w:p w:rsidR="00E535A0" w:rsidRDefault="00E535A0">
      <w:pPr>
        <w:keepNext/>
        <w:jc w:val="center"/>
        <w:rPr>
          <w:noProof/>
        </w:rPr>
      </w:pPr>
    </w:p>
    <w:p w:rsidR="00E535A0" w:rsidRDefault="00E535A0">
      <w:pPr>
        <w:keepNext/>
        <w:jc w:val="center"/>
        <w:rPr>
          <w:noProof/>
        </w:rPr>
      </w:pPr>
    </w:p>
    <w:p w:rsidR="00E535A0" w:rsidRDefault="00E535A0">
      <w:pPr>
        <w:keepNext/>
        <w:jc w:val="center"/>
        <w:rPr>
          <w:noProof/>
        </w:rPr>
      </w:pPr>
    </w:p>
    <w:p w:rsidR="00E535A0" w:rsidRDefault="00C953F5">
      <w:pPr>
        <w:keepNext/>
        <w:jc w:val="center"/>
        <w:rPr>
          <w:noProof/>
        </w:rPr>
      </w:pPr>
      <w:r>
        <w:rPr>
          <w:noProof/>
          <w:lang w:val="de-DE" w:eastAsia="de-DE"/>
        </w:rPr>
        <w:drawing>
          <wp:anchor distT="0" distB="0" distL="114300" distR="114300" simplePos="0" relativeHeight="251663360" behindDoc="1" locked="0" layoutInCell="1" allowOverlap="1">
            <wp:simplePos x="0" y="0"/>
            <wp:positionH relativeFrom="column">
              <wp:posOffset>1129665</wp:posOffset>
            </wp:positionH>
            <wp:positionV relativeFrom="paragraph">
              <wp:posOffset>-74930</wp:posOffset>
            </wp:positionV>
            <wp:extent cx="3139440" cy="2090420"/>
            <wp:effectExtent l="0" t="0" r="3810" b="5080"/>
            <wp:wrapTight wrapText="bothSides">
              <wp:wrapPolygon edited="0">
                <wp:start x="0" y="0"/>
                <wp:lineTo x="0" y="21456"/>
                <wp:lineTo x="21495" y="21456"/>
                <wp:lineTo x="2149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5-12-17 at 10.14.3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39440" cy="2090420"/>
                    </a:xfrm>
                    <a:prstGeom prst="rect">
                      <a:avLst/>
                    </a:prstGeom>
                  </pic:spPr>
                </pic:pic>
              </a:graphicData>
            </a:graphic>
            <wp14:sizeRelH relativeFrom="page">
              <wp14:pctWidth>0</wp14:pctWidth>
            </wp14:sizeRelH>
            <wp14:sizeRelV relativeFrom="page">
              <wp14:pctHeight>0</wp14:pctHeight>
            </wp14:sizeRelV>
          </wp:anchor>
        </w:drawing>
      </w:r>
    </w:p>
    <w:p w:rsidR="00E535A0" w:rsidRDefault="00E535A0">
      <w:pPr>
        <w:pStyle w:val="Beschriftung"/>
        <w:widowControl w:val="0"/>
        <w:rPr>
          <w:noProof/>
          <w:lang w:val="en-GB"/>
        </w:rPr>
      </w:pPr>
    </w:p>
    <w:p w:rsidR="00E535A0" w:rsidRDefault="00E535A0">
      <w:pPr>
        <w:pStyle w:val="Beschriftung"/>
        <w:widowControl w:val="0"/>
        <w:rPr>
          <w:noProof/>
          <w:lang w:val="en-GB"/>
        </w:rPr>
      </w:pPr>
    </w:p>
    <w:p w:rsidR="00E535A0" w:rsidRDefault="00E535A0">
      <w:pPr>
        <w:pStyle w:val="Beschriftung"/>
        <w:widowControl w:val="0"/>
        <w:rPr>
          <w:noProof/>
          <w:lang w:val="en-GB"/>
        </w:rPr>
      </w:pPr>
    </w:p>
    <w:p w:rsidR="00E535A0" w:rsidRDefault="00E535A0">
      <w:pPr>
        <w:rPr>
          <w:noProof/>
        </w:rPr>
      </w:pPr>
    </w:p>
    <w:p w:rsidR="00E535A0" w:rsidRDefault="00E535A0">
      <w:pPr>
        <w:rPr>
          <w:noProof/>
        </w:rPr>
      </w:pPr>
    </w:p>
    <w:p w:rsidR="00E535A0" w:rsidRDefault="00E535A0">
      <w:pPr>
        <w:pStyle w:val="Beschriftung"/>
        <w:widowControl w:val="0"/>
        <w:rPr>
          <w:noProof/>
          <w:lang w:val="en-GB"/>
        </w:rPr>
      </w:pPr>
    </w:p>
    <w:p w:rsidR="00E535A0" w:rsidRDefault="00E535A0">
      <w:pPr>
        <w:pStyle w:val="Beschriftung"/>
        <w:widowControl w:val="0"/>
        <w:rPr>
          <w:noProof/>
          <w:lang w:val="en-GB"/>
        </w:rPr>
      </w:pPr>
    </w:p>
    <w:p w:rsidR="00E535A0" w:rsidRDefault="00C953F5">
      <w:pPr>
        <w:pStyle w:val="Beschriftung"/>
        <w:widowControl w:val="0"/>
        <w:rPr>
          <w:noProof/>
          <w:lang w:val="en-GB"/>
        </w:rPr>
      </w:pPr>
      <w:r>
        <w:rPr>
          <w:noProof/>
          <w:lang w:val="en-GB"/>
        </w:rPr>
        <w:t xml:space="preserve">Figure 2. FP7 publications by </w:t>
      </w:r>
      <w:r>
        <w:rPr>
          <w:noProof/>
          <w:lang w:val="en-GB"/>
        </w:rPr>
        <w:t>type.</w:t>
      </w:r>
    </w:p>
    <w:p w:rsidR="00E535A0" w:rsidRDefault="00E535A0">
      <w:pPr>
        <w:rPr>
          <w:noProof/>
        </w:rPr>
      </w:pPr>
    </w:p>
    <w:p w:rsidR="00E535A0" w:rsidRDefault="00C953F5">
      <w:pPr>
        <w:pStyle w:val="berschrift2"/>
        <w:rPr>
          <w:noProof/>
          <w:szCs w:val="24"/>
        </w:rPr>
      </w:pPr>
      <w:r>
        <w:rPr>
          <w:noProof/>
          <w:szCs w:val="24"/>
        </w:rPr>
        <w:t xml:space="preserve">Overall observations and statistics </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171,258 FP7 publications have </w:t>
      </w:r>
      <w:r>
        <w:rPr>
          <w:rFonts w:ascii="Times New Roman" w:hAnsi="Times New Roman" w:cs="Times New Roman"/>
          <w:noProof/>
          <w:sz w:val="24"/>
          <w:szCs w:val="24"/>
          <w:u w:val="single"/>
        </w:rPr>
        <w:t>126,159</w:t>
      </w:r>
      <w:r>
        <w:rPr>
          <w:rFonts w:ascii="Times New Roman" w:eastAsia="Times New Roman" w:hAnsi="Times New Roman" w:cs="Times New Roman"/>
          <w:noProof/>
          <w:sz w:val="24"/>
          <w:szCs w:val="24"/>
          <w:lang w:eastAsia="el-GR"/>
        </w:rPr>
        <w:t xml:space="preserve"> </w:t>
      </w:r>
      <w:r>
        <w:rPr>
          <w:rFonts w:ascii="Times New Roman" w:hAnsi="Times New Roman" w:cs="Times New Roman"/>
          <w:noProof/>
          <w:sz w:val="24"/>
          <w:szCs w:val="24"/>
        </w:rPr>
        <w:t xml:space="preserve">a DOI and </w:t>
      </w:r>
      <w:r>
        <w:rPr>
          <w:rFonts w:ascii="Times New Roman" w:hAnsi="Times New Roman" w:cs="Times New Roman"/>
          <w:noProof/>
          <w:sz w:val="24"/>
          <w:szCs w:val="24"/>
          <w:u w:val="single"/>
        </w:rPr>
        <w:t>112,416</w:t>
      </w:r>
      <w:r>
        <w:rPr>
          <w:rStyle w:val="Funotenzeichen"/>
          <w:rFonts w:ascii="Times New Roman" w:hAnsi="Times New Roman" w:cs="Times New Roman"/>
          <w:noProof/>
          <w:sz w:val="24"/>
          <w:szCs w:val="24"/>
        </w:rPr>
        <w:footnoteReference w:id="92"/>
      </w:r>
      <w:r>
        <w:rPr>
          <w:rFonts w:ascii="Times New Roman" w:hAnsi="Times New Roman" w:cs="Times New Roman"/>
          <w:noProof/>
          <w:sz w:val="24"/>
          <w:szCs w:val="24"/>
        </w:rPr>
        <w:t xml:space="preserve"> have links to the Scimago (</w:t>
      </w:r>
      <w:hyperlink r:id="rId105" w:history="1">
        <w:r>
          <w:rPr>
            <w:rStyle w:val="Hyperlink"/>
            <w:rFonts w:ascii="Times New Roman" w:hAnsi="Times New Roman" w:cs="Times New Roman"/>
            <w:noProof/>
            <w:sz w:val="24"/>
            <w:szCs w:val="24"/>
          </w:rPr>
          <w:t>http://www.scimagojr.com</w:t>
        </w:r>
      </w:hyperlink>
      <w:r>
        <w:rPr>
          <w:rFonts w:ascii="Times New Roman" w:hAnsi="Times New Roman" w:cs="Times New Roman"/>
          <w:noProof/>
          <w:sz w:val="24"/>
          <w:szCs w:val="24"/>
        </w:rPr>
        <w:t xml:space="preserve">) database. Even though these numbers can be further increased </w:t>
      </w:r>
      <w:r>
        <w:rPr>
          <w:rFonts w:ascii="Times New Roman" w:hAnsi="Times New Roman" w:cs="Times New Roman"/>
          <w:noProof/>
          <w:sz w:val="24"/>
          <w:szCs w:val="24"/>
        </w:rPr>
        <w:t>and refined via queries to CrossRef, we need to pay special attention and do further processing (disambiguation, de-duplication) as CrossRef’s generic APIs does not allow for specialized/advanced queries.</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_Ref302042195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and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_Ref302042212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 the FP7 publications over the years. 16,282 publications do not have a valid publication date.</w:t>
      </w:r>
    </w:p>
    <w:p w:rsidR="00E535A0" w:rsidRDefault="00C953F5">
      <w:pPr>
        <w:pStyle w:val="Beschriftung"/>
        <w:keepNext/>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SEQ Table \* ARABIC </w:instrText>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3</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 xml:space="preserve">. FP7 publication timeline </w:t>
      </w:r>
    </w:p>
    <w:tbl>
      <w:tblPr>
        <w:tblStyle w:val="MittlereListe2-Akzent5"/>
        <w:tblW w:w="0" w:type="auto"/>
        <w:tblLayout w:type="fixed"/>
        <w:tblLook w:val="04A0" w:firstRow="1" w:lastRow="0" w:firstColumn="1" w:lastColumn="0" w:noHBand="0" w:noVBand="1"/>
      </w:tblPr>
      <w:tblGrid>
        <w:gridCol w:w="1101"/>
        <w:gridCol w:w="1984"/>
      </w:tblGrid>
      <w:tr w:rsidR="00E535A0" w:rsidTr="00E535A0">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 xml:space="preserve">Year </w:t>
            </w:r>
          </w:p>
        </w:tc>
        <w:tc>
          <w:tcPr>
            <w:tcW w:w="1984" w:type="dxa"/>
          </w:tcPr>
          <w:p w:rsidR="00E535A0" w:rsidRDefault="00C953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Publications</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2007</w:t>
            </w:r>
          </w:p>
        </w:tc>
        <w:tc>
          <w:tcPr>
            <w:tcW w:w="1984"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164</w:t>
            </w:r>
          </w:p>
        </w:tc>
      </w:tr>
      <w:tr w:rsidR="00E535A0" w:rsidTr="00E535A0">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2008</w:t>
            </w:r>
          </w:p>
        </w:tc>
        <w:tc>
          <w:tcPr>
            <w:tcW w:w="1984"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1,130</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2009</w:t>
            </w:r>
          </w:p>
        </w:tc>
        <w:tc>
          <w:tcPr>
            <w:tcW w:w="1984"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5,319</w:t>
            </w:r>
          </w:p>
        </w:tc>
      </w:tr>
      <w:tr w:rsidR="00E535A0" w:rsidTr="00E535A0">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2010</w:t>
            </w:r>
          </w:p>
        </w:tc>
        <w:tc>
          <w:tcPr>
            <w:tcW w:w="1984"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12,400</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2011</w:t>
            </w:r>
          </w:p>
        </w:tc>
        <w:tc>
          <w:tcPr>
            <w:tcW w:w="1984"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21,438</w:t>
            </w:r>
          </w:p>
        </w:tc>
      </w:tr>
      <w:tr w:rsidR="00E535A0" w:rsidTr="00E535A0">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2012</w:t>
            </w:r>
          </w:p>
        </w:tc>
        <w:tc>
          <w:tcPr>
            <w:tcW w:w="1984"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32,237</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2013</w:t>
            </w:r>
          </w:p>
        </w:tc>
        <w:tc>
          <w:tcPr>
            <w:tcW w:w="1984"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42,019</w:t>
            </w:r>
          </w:p>
        </w:tc>
      </w:tr>
      <w:tr w:rsidR="00E535A0" w:rsidTr="00E535A0">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2014</w:t>
            </w:r>
          </w:p>
        </w:tc>
        <w:tc>
          <w:tcPr>
            <w:tcW w:w="1984" w:type="dxa"/>
            <w:hideMark/>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32,797</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E535A0" w:rsidRDefault="00C953F5">
            <w:pPr>
              <w:rPr>
                <w:rFonts w:ascii="Times New Roman" w:hAnsi="Times New Roman" w:cs="Times New Roman"/>
                <w:noProof/>
                <w:lang w:val="en-GB"/>
              </w:rPr>
            </w:pPr>
            <w:r>
              <w:rPr>
                <w:rFonts w:ascii="Times New Roman" w:hAnsi="Times New Roman" w:cs="Times New Roman"/>
                <w:noProof/>
                <w:lang w:val="en-GB"/>
              </w:rPr>
              <w:t>2015</w:t>
            </w:r>
          </w:p>
        </w:tc>
        <w:tc>
          <w:tcPr>
            <w:tcW w:w="1984" w:type="dxa"/>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7,254</w:t>
            </w:r>
          </w:p>
        </w:tc>
      </w:tr>
      <w:tr w:rsidR="00E535A0" w:rsidTr="00E535A0">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4BACC6" w:themeColor="accent5"/>
            </w:tcBorders>
          </w:tcPr>
          <w:p w:rsidR="00E535A0" w:rsidRDefault="00C953F5">
            <w:pPr>
              <w:rPr>
                <w:rFonts w:ascii="Times New Roman" w:hAnsi="Times New Roman" w:cs="Times New Roman"/>
                <w:noProof/>
                <w:lang w:val="en-GB"/>
              </w:rPr>
            </w:pPr>
            <w:r>
              <w:rPr>
                <w:rFonts w:ascii="Times New Roman" w:hAnsi="Times New Roman" w:cs="Times New Roman"/>
                <w:noProof/>
                <w:lang w:val="en-GB"/>
              </w:rPr>
              <w:t>N/A</w:t>
            </w:r>
          </w:p>
        </w:tc>
        <w:tc>
          <w:tcPr>
            <w:tcW w:w="1984" w:type="dxa"/>
            <w:tcBorders>
              <w:bottom w:val="single" w:sz="4" w:space="0" w:color="4BACC6" w:themeColor="accent5"/>
            </w:tcBorders>
          </w:tcPr>
          <w:p w:rsidR="00E535A0" w:rsidRDefault="00C953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16,500</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4BACC6" w:themeColor="accent5"/>
            </w:tcBorders>
            <w:shd w:val="clear" w:color="auto" w:fill="auto"/>
            <w:noWrap/>
            <w:hideMark/>
          </w:tcPr>
          <w:p w:rsidR="00E535A0" w:rsidRDefault="00C953F5">
            <w:pPr>
              <w:rPr>
                <w:rFonts w:ascii="Times New Roman" w:hAnsi="Times New Roman" w:cs="Times New Roman"/>
                <w:b/>
                <w:noProof/>
                <w:lang w:val="en-GB"/>
              </w:rPr>
            </w:pPr>
            <w:r>
              <w:rPr>
                <w:rFonts w:ascii="Times New Roman" w:hAnsi="Times New Roman" w:cs="Times New Roman"/>
                <w:b/>
                <w:noProof/>
                <w:lang w:val="en-GB"/>
              </w:rPr>
              <w:t>Total</w:t>
            </w:r>
          </w:p>
        </w:tc>
        <w:tc>
          <w:tcPr>
            <w:tcW w:w="1984" w:type="dxa"/>
            <w:tcBorders>
              <w:top w:val="single" w:sz="4" w:space="0" w:color="4BACC6" w:themeColor="accent5"/>
            </w:tcBorders>
            <w:shd w:val="clear" w:color="auto" w:fill="auto"/>
            <w:noWrap/>
            <w:hideMark/>
          </w:tcPr>
          <w:p w:rsidR="00E535A0" w:rsidRDefault="00C953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val="en-GB"/>
              </w:rPr>
            </w:pPr>
            <w:r>
              <w:rPr>
                <w:rFonts w:ascii="Times New Roman" w:hAnsi="Times New Roman" w:cs="Times New Roman"/>
                <w:b/>
                <w:noProof/>
                <w:lang w:val="en-GB"/>
              </w:rPr>
              <w:t>171,258</w:t>
            </w:r>
          </w:p>
        </w:tc>
      </w:tr>
    </w:tbl>
    <w:p w:rsidR="00E535A0" w:rsidRDefault="00C953F5">
      <w:pPr>
        <w:keepNext/>
        <w:jc w:val="center"/>
        <w:rPr>
          <w:noProof/>
        </w:rPr>
      </w:pPr>
      <w:r>
        <w:rPr>
          <w:noProof/>
          <w:lang w:val="de-DE" w:eastAsia="de-DE"/>
        </w:rPr>
        <w:drawing>
          <wp:inline distT="0" distB="0" distL="0" distR="0">
            <wp:extent cx="6188710" cy="261683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5-12-17 at 16.45.24.png"/>
                    <pic:cNvPicPr/>
                  </pic:nvPicPr>
                  <pic:blipFill>
                    <a:blip r:embed="rId106">
                      <a:extLst>
                        <a:ext uri="{28A0092B-C50C-407E-A947-70E740481C1C}">
                          <a14:useLocalDpi xmlns:a14="http://schemas.microsoft.com/office/drawing/2010/main" val="0"/>
                        </a:ext>
                      </a:extLst>
                    </a:blip>
                    <a:stretch>
                      <a:fillRect/>
                    </a:stretch>
                  </pic:blipFill>
                  <pic:spPr>
                    <a:xfrm>
                      <a:off x="0" y="0"/>
                      <a:ext cx="6188710" cy="2616835"/>
                    </a:xfrm>
                    <a:prstGeom prst="rect">
                      <a:avLst/>
                    </a:prstGeom>
                  </pic:spPr>
                </pic:pic>
              </a:graphicData>
            </a:graphic>
          </wp:inline>
        </w:drawing>
      </w:r>
    </w:p>
    <w:p w:rsidR="00E535A0" w:rsidRDefault="00C953F5">
      <w:pPr>
        <w:pStyle w:val="Beschriftung"/>
        <w:jc w:val="center"/>
        <w:rPr>
          <w:noProof/>
          <w:lang w:val="en-GB"/>
        </w:rPr>
      </w:pPr>
      <w:r>
        <w:rPr>
          <w:noProof/>
          <w:lang w:val="en-GB"/>
        </w:rPr>
        <w:t xml:space="preserve">Figure 3.  FP7 timeline diagram. </w:t>
      </w:r>
    </w:p>
    <w:p w:rsidR="00E535A0" w:rsidRDefault="00C953F5">
      <w:pPr>
        <w:pStyle w:val="berschrift3"/>
        <w:spacing w:before="360"/>
        <w:rPr>
          <w:noProof/>
          <w:szCs w:val="24"/>
        </w:rPr>
      </w:pPr>
      <w:r>
        <w:rPr>
          <w:noProof/>
          <w:szCs w:val="24"/>
        </w:rPr>
        <w:t>Publications during-after the lifetime of projects</w:t>
      </w:r>
    </w:p>
    <w:p w:rsidR="00E535A0" w:rsidRDefault="00C953F5">
      <w:pPr>
        <w:tabs>
          <w:tab w:val="left" w:pos="8700"/>
        </w:tabs>
        <w:rPr>
          <w:rFonts w:ascii="Times New Roman" w:hAnsi="Times New Roman" w:cs="Times New Roman"/>
          <w:noProof/>
          <w:sz w:val="24"/>
          <w:szCs w:val="24"/>
        </w:rPr>
      </w:pPr>
      <w:r>
        <w:rPr>
          <w:rFonts w:ascii="Times New Roman" w:hAnsi="Times New Roman" w:cs="Times New Roman"/>
          <w:noProof/>
          <w:sz w:val="24"/>
          <w:szCs w:val="24"/>
        </w:rPr>
        <w:t xml:space="preserve">Most publications were published within </w:t>
      </w:r>
      <w:r>
        <w:rPr>
          <w:rFonts w:ascii="Times New Roman" w:hAnsi="Times New Roman" w:cs="Times New Roman"/>
          <w:noProof/>
          <w:sz w:val="24"/>
          <w:szCs w:val="24"/>
        </w:rPr>
        <w:t>the project lifetime (136,872), but an overall 13,74% (21,810 publications) were published after the project ended (published from 4,759 projects out of 11,571 completed projects).</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 xml:space="preserve">The average number of publications per project within the project lifetime is </w:t>
      </w:r>
      <w:r>
        <w:rPr>
          <w:rFonts w:ascii="Times New Roman" w:hAnsi="Times New Roman" w:cs="Times New Roman"/>
          <w:noProof/>
          <w:sz w:val="24"/>
          <w:szCs w:val="24"/>
          <w:u w:val="single"/>
        </w:rPr>
        <w:t>11,8 publications per project</w:t>
      </w:r>
      <w:r>
        <w:rPr>
          <w:rFonts w:ascii="Times New Roman" w:hAnsi="Times New Roman" w:cs="Times New Roman"/>
          <w:noProof/>
          <w:sz w:val="24"/>
          <w:szCs w:val="24"/>
        </w:rPr>
        <w:t xml:space="preserve">, while the average number of publications per project after the project ends is </w:t>
      </w:r>
      <w:r>
        <w:rPr>
          <w:rFonts w:ascii="Times New Roman" w:hAnsi="Times New Roman" w:cs="Times New Roman"/>
          <w:noProof/>
          <w:sz w:val="24"/>
          <w:szCs w:val="24"/>
          <w:u w:val="single"/>
        </w:rPr>
        <w:t>1,88+ publications per project</w:t>
      </w:r>
      <w:r>
        <w:rPr>
          <w:rFonts w:ascii="Times New Roman" w:hAnsi="Times New Roman" w:cs="Times New Roman"/>
          <w:noProof/>
          <w:sz w:val="24"/>
          <w:szCs w:val="24"/>
        </w:rPr>
        <w:t>.</w:t>
      </w:r>
    </w:p>
    <w:p w:rsidR="00E535A0" w:rsidRDefault="00C953F5">
      <w:pPr>
        <w:pStyle w:val="Beschriftung"/>
        <w:keepNext/>
        <w:rPr>
          <w:noProof/>
          <w:lang w:val="en-GB"/>
        </w:rPr>
      </w:pPr>
      <w:r>
        <w:rPr>
          <w:noProof/>
          <w:lang w:val="en-GB"/>
        </w:rPr>
        <w:t xml:space="preserve">Table 4. Post grant publication </w:t>
      </w:r>
      <w:r>
        <w:rPr>
          <w:noProof/>
          <w:lang w:val="en-GB"/>
        </w:rPr>
        <w:t>rate.</w:t>
      </w:r>
    </w:p>
    <w:tbl>
      <w:tblPr>
        <w:tblStyle w:val="MittlereListe2-Akzent5"/>
        <w:tblW w:w="5920" w:type="dxa"/>
        <w:tblLayout w:type="fixed"/>
        <w:tblLook w:val="04E0" w:firstRow="1" w:lastRow="1" w:firstColumn="1" w:lastColumn="0" w:noHBand="0" w:noVBand="1"/>
      </w:tblPr>
      <w:tblGrid>
        <w:gridCol w:w="2235"/>
        <w:gridCol w:w="1559"/>
        <w:gridCol w:w="2126"/>
      </w:tblGrid>
      <w:tr w:rsidR="00E535A0" w:rsidTr="00E535A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noWrap/>
            <w:hideMark/>
          </w:tcPr>
          <w:p w:rsidR="00E535A0" w:rsidRDefault="00C953F5">
            <w:pPr>
              <w:jc w:val="cente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Year after end of project</w:t>
            </w:r>
          </w:p>
        </w:tc>
        <w:tc>
          <w:tcPr>
            <w:tcW w:w="1559" w:type="dxa"/>
            <w:noWrap/>
            <w:hideMark/>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Publications</w:t>
            </w:r>
          </w:p>
        </w:tc>
        <w:tc>
          <w:tcPr>
            <w:tcW w:w="2126" w:type="dxa"/>
            <w:noWrap/>
            <w:hideMark/>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 from total post grant publications</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jc w:val="right"/>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+1</w:t>
            </w:r>
          </w:p>
        </w:tc>
        <w:tc>
          <w:tcPr>
            <w:tcW w:w="1559"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bCs/>
                <w:noProof/>
                <w:color w:val="000000"/>
                <w:sz w:val="22"/>
                <w:szCs w:val="22"/>
                <w:lang w:val="en-GB"/>
              </w:rPr>
              <w:t>12,881</w:t>
            </w:r>
          </w:p>
        </w:tc>
        <w:tc>
          <w:tcPr>
            <w:tcW w:w="2126"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noProof/>
                <w:color w:val="000000"/>
                <w:sz w:val="22"/>
                <w:lang w:val="en-GB"/>
              </w:rPr>
              <w:t>69%</w:t>
            </w:r>
          </w:p>
        </w:tc>
      </w:tr>
      <w:tr w:rsidR="00E535A0" w:rsidTr="00E535A0">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jc w:val="right"/>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 xml:space="preserve"> +2</w:t>
            </w:r>
          </w:p>
        </w:tc>
        <w:tc>
          <w:tcPr>
            <w:tcW w:w="1559"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bCs/>
                <w:noProof/>
                <w:color w:val="000000"/>
                <w:sz w:val="22"/>
                <w:szCs w:val="22"/>
                <w:lang w:val="en-GB"/>
              </w:rPr>
              <w:t>4,243</w:t>
            </w:r>
          </w:p>
        </w:tc>
        <w:tc>
          <w:tcPr>
            <w:tcW w:w="2126"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noProof/>
                <w:color w:val="000000"/>
                <w:sz w:val="22"/>
                <w:lang w:val="en-GB"/>
              </w:rPr>
              <w:t>23%</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jc w:val="right"/>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+3</w:t>
            </w:r>
          </w:p>
        </w:tc>
        <w:tc>
          <w:tcPr>
            <w:tcW w:w="1559"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bCs/>
                <w:noProof/>
                <w:color w:val="000000"/>
                <w:sz w:val="22"/>
                <w:szCs w:val="22"/>
                <w:lang w:val="en-GB"/>
              </w:rPr>
              <w:t>1,145</w:t>
            </w:r>
          </w:p>
        </w:tc>
        <w:tc>
          <w:tcPr>
            <w:tcW w:w="2126"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noProof/>
                <w:color w:val="000000"/>
                <w:sz w:val="22"/>
                <w:lang w:val="en-GB"/>
              </w:rPr>
              <w:t>6%</w:t>
            </w:r>
          </w:p>
        </w:tc>
      </w:tr>
      <w:tr w:rsidR="00E535A0" w:rsidTr="00E535A0">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jc w:val="right"/>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+4</w:t>
            </w:r>
          </w:p>
        </w:tc>
        <w:tc>
          <w:tcPr>
            <w:tcW w:w="1559"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bCs/>
                <w:noProof/>
                <w:color w:val="000000"/>
                <w:sz w:val="22"/>
                <w:szCs w:val="22"/>
                <w:lang w:val="en-GB"/>
              </w:rPr>
              <w:t>272</w:t>
            </w:r>
          </w:p>
        </w:tc>
        <w:tc>
          <w:tcPr>
            <w:tcW w:w="2126"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noProof/>
                <w:color w:val="000000"/>
                <w:sz w:val="22"/>
                <w:lang w:val="en-GB"/>
              </w:rPr>
              <w:t>1%</w:t>
            </w:r>
          </w:p>
        </w:tc>
      </w:tr>
      <w:tr w:rsidR="00E535A0" w:rsidTr="00E535A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jc w:val="right"/>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+5</w:t>
            </w:r>
          </w:p>
        </w:tc>
        <w:tc>
          <w:tcPr>
            <w:tcW w:w="1559"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cs="Times New Roman"/>
                <w:bCs/>
                <w:noProof/>
                <w:color w:val="000000"/>
                <w:sz w:val="22"/>
                <w:szCs w:val="22"/>
                <w:lang w:val="en-GB"/>
              </w:rPr>
              <w:t>45</w:t>
            </w:r>
          </w:p>
        </w:tc>
        <w:tc>
          <w:tcPr>
            <w:tcW w:w="2126"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noProof/>
                <w:color w:val="000000"/>
                <w:sz w:val="22"/>
                <w:lang w:val="en-GB"/>
              </w:rPr>
              <w:t>0%</w:t>
            </w:r>
          </w:p>
        </w:tc>
      </w:tr>
      <w:tr w:rsidR="00E535A0" w:rsidTr="00E535A0">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31849B" w:themeColor="accent5" w:themeShade="BF"/>
            </w:tcBorders>
            <w:noWrap/>
          </w:tcPr>
          <w:p w:rsidR="00E535A0" w:rsidRDefault="00C953F5">
            <w:pPr>
              <w:jc w:val="right"/>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+6</w:t>
            </w:r>
          </w:p>
        </w:tc>
        <w:tc>
          <w:tcPr>
            <w:tcW w:w="1559" w:type="dxa"/>
            <w:tcBorders>
              <w:bottom w:val="single" w:sz="4" w:space="0" w:color="31849B" w:themeColor="accent5" w:themeShade="BF"/>
            </w:tcBorders>
            <w:noWrap/>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4</w:t>
            </w:r>
          </w:p>
        </w:tc>
        <w:tc>
          <w:tcPr>
            <w:tcW w:w="2126" w:type="dxa"/>
            <w:tcBorders>
              <w:bottom w:val="single" w:sz="4" w:space="0" w:color="31849B" w:themeColor="accent5" w:themeShade="BF"/>
            </w:tcBorders>
            <w:noWrap/>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2"/>
                <w:szCs w:val="22"/>
                <w:lang w:val="en-GB"/>
              </w:rPr>
            </w:pPr>
            <w:r>
              <w:rPr>
                <w:rFonts w:ascii="Calibri" w:eastAsia="Times New Roman" w:hAnsi="Calibri"/>
                <w:noProof/>
                <w:color w:val="000000"/>
                <w:sz w:val="22"/>
                <w:lang w:val="en-GB"/>
              </w:rPr>
              <w:t>0%</w:t>
            </w:r>
          </w:p>
        </w:tc>
      </w:tr>
      <w:tr w:rsidR="00E535A0" w:rsidTr="00E535A0">
        <w:trPr>
          <w:cnfStyle w:val="010000000000" w:firstRow="0" w:lastRow="1" w:firstColumn="0" w:lastColumn="0" w:oddVBand="0" w:evenVBand="0" w:oddHBand="0" w:evenHBand="0" w:firstRowFirstColumn="0" w:firstRowLastColumn="0" w:lastRowFirstColumn="0" w:lastRowLastColumn="0"/>
          <w:trHeight w:val="217"/>
        </w:trPr>
        <w:tc>
          <w:tcPr>
            <w:cnfStyle w:val="001000000001" w:firstRow="0" w:lastRow="0" w:firstColumn="1" w:lastColumn="0" w:oddVBand="0" w:evenVBand="0" w:oddHBand="0" w:evenHBand="0" w:firstRowFirstColumn="0" w:firstRowLastColumn="0" w:lastRowFirstColumn="1" w:lastRowLastColumn="0"/>
            <w:tcW w:w="2235" w:type="dxa"/>
            <w:tcBorders>
              <w:top w:val="single" w:sz="4" w:space="0" w:color="31849B" w:themeColor="accent5" w:themeShade="BF"/>
              <w:right w:val="single" w:sz="4" w:space="0" w:color="31849B" w:themeColor="accent5" w:themeShade="BF"/>
            </w:tcBorders>
            <w:noWrap/>
            <w:hideMark/>
          </w:tcPr>
          <w:p w:rsidR="00E535A0" w:rsidRDefault="00C953F5">
            <w:pPr>
              <w:jc w:val="right"/>
              <w:rPr>
                <w:rFonts w:ascii="Calibri" w:eastAsia="Times New Roman" w:hAnsi="Calibri" w:cs="Times New Roman"/>
                <w:b/>
                <w:noProof/>
                <w:color w:val="000000"/>
                <w:sz w:val="22"/>
                <w:szCs w:val="22"/>
                <w:lang w:val="en-GB"/>
              </w:rPr>
            </w:pPr>
            <w:r>
              <w:rPr>
                <w:rFonts w:ascii="Calibri" w:eastAsia="Times New Roman" w:hAnsi="Calibri" w:cs="Times New Roman"/>
                <w:b/>
                <w:noProof/>
                <w:color w:val="000000"/>
                <w:sz w:val="22"/>
                <w:szCs w:val="22"/>
                <w:lang w:val="en-GB"/>
              </w:rPr>
              <w:t>Total</w:t>
            </w:r>
          </w:p>
        </w:tc>
        <w:tc>
          <w:tcPr>
            <w:tcW w:w="1559" w:type="dxa"/>
            <w:tcBorders>
              <w:top w:val="single" w:sz="4" w:space="0" w:color="31849B" w:themeColor="accent5" w:themeShade="BF"/>
              <w:left w:val="single" w:sz="4" w:space="0" w:color="31849B" w:themeColor="accent5" w:themeShade="BF"/>
            </w:tcBorders>
            <w:noWrap/>
            <w:hideMark/>
          </w:tcPr>
          <w:p w:rsidR="00E535A0" w:rsidRDefault="00C953F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18,590</w:t>
            </w:r>
          </w:p>
        </w:tc>
        <w:tc>
          <w:tcPr>
            <w:tcW w:w="2126" w:type="dxa"/>
            <w:tcBorders>
              <w:top w:val="single" w:sz="4" w:space="0" w:color="31849B" w:themeColor="accent5" w:themeShade="BF"/>
              <w:right w:val="single" w:sz="4" w:space="0" w:color="31849B" w:themeColor="accent5" w:themeShade="BF"/>
            </w:tcBorders>
            <w:noWrap/>
            <w:hideMark/>
          </w:tcPr>
          <w:p w:rsidR="00E535A0" w:rsidRDefault="00E535A0">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lang w:val="en-GB"/>
              </w:rPr>
            </w:pPr>
          </w:p>
        </w:tc>
      </w:tr>
    </w:tbl>
    <w:p w:rsidR="00E535A0" w:rsidRDefault="00C953F5">
      <w:pPr>
        <w:tabs>
          <w:tab w:val="left" w:pos="8700"/>
        </w:tabs>
        <w:rPr>
          <w:noProof/>
        </w:rPr>
      </w:pPr>
      <w:r>
        <w:rPr>
          <w:noProof/>
        </w:rPr>
        <w:tab/>
      </w:r>
    </w:p>
    <w:p w:rsidR="00E535A0" w:rsidRDefault="00C953F5">
      <w:pPr>
        <w:pStyle w:val="Beschriftung"/>
        <w:keepNext/>
        <w:jc w:val="center"/>
        <w:rPr>
          <w:noProof/>
          <w:lang w:val="en-GB"/>
        </w:rPr>
      </w:pPr>
      <w:r>
        <w:rPr>
          <w:rFonts w:ascii="Times New Roman" w:hAnsi="Times New Roman" w:cs="Times New Roman"/>
          <w:bCs w:val="0"/>
          <w:noProof/>
          <w:sz w:val="24"/>
          <w:szCs w:val="24"/>
          <w:lang w:val="de-DE" w:eastAsia="de-DE"/>
        </w:rPr>
        <w:drawing>
          <wp:inline distT="0" distB="0" distL="0" distR="0">
            <wp:extent cx="4461773" cy="2974340"/>
            <wp:effectExtent l="0" t="0" r="8890" b="0"/>
            <wp:docPr id="215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7"/>
                    <a:stretch>
                      <a:fillRect/>
                    </a:stretch>
                  </pic:blipFill>
                  <pic:spPr bwMode="auto">
                    <a:xfrm>
                      <a:off x="0" y="0"/>
                      <a:ext cx="4467026" cy="2977842"/>
                    </a:xfrm>
                    <a:prstGeom prst="rect">
                      <a:avLst/>
                    </a:prstGeom>
                    <a:noFill/>
                    <a:ln w="9525">
                      <a:noFill/>
                      <a:miter lim="800000"/>
                      <a:headEnd/>
                      <a:tailEnd/>
                    </a:ln>
                  </pic:spPr>
                </pic:pic>
              </a:graphicData>
            </a:graphic>
          </wp:inline>
        </w:drawing>
      </w:r>
    </w:p>
    <w:p w:rsidR="00E535A0" w:rsidRDefault="00C953F5">
      <w:pPr>
        <w:pStyle w:val="Beschriftung"/>
        <w:jc w:val="center"/>
        <w:rPr>
          <w:noProof/>
          <w:lang w:val="en-GB"/>
        </w:rPr>
      </w:pPr>
      <w:r>
        <w:rPr>
          <w:noProof/>
          <w:lang w:val="en-GB"/>
        </w:rPr>
        <w:t>Figure 4. Schematic view of post grant publication rate.</w:t>
      </w:r>
    </w:p>
    <w:p w:rsidR="00E535A0" w:rsidRDefault="00C953F5">
      <w:pPr>
        <w:pStyle w:val="berschrift2"/>
        <w:rPr>
          <w:noProof/>
          <w:szCs w:val="24"/>
        </w:rPr>
      </w:pPr>
      <w:r>
        <w:rPr>
          <w:noProof/>
          <w:szCs w:val="24"/>
        </w:rPr>
        <w:t>Open Access Evaluation</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From the total of 171,258 FP7 publications</w:t>
      </w:r>
      <w:r>
        <w:rPr>
          <w:rFonts w:ascii="Times New Roman" w:hAnsi="Times New Roman" w:cs="Times New Roman"/>
          <w:noProof/>
          <w:color w:val="262626"/>
          <w:sz w:val="24"/>
          <w:szCs w:val="24"/>
        </w:rPr>
        <w:t xml:space="preserve"> </w:t>
      </w:r>
      <w:bookmarkStart w:id="52" w:name="OLE_LINK1"/>
      <w:r>
        <w:rPr>
          <w:rFonts w:ascii="Times New Roman" w:hAnsi="Times New Roman" w:cs="Times New Roman"/>
          <w:noProof/>
          <w:sz w:val="24"/>
          <w:szCs w:val="24"/>
        </w:rPr>
        <w:t>92,826</w:t>
      </w:r>
      <w:bookmarkEnd w:id="52"/>
      <w:r>
        <w:rPr>
          <w:rFonts w:ascii="Times New Roman" w:hAnsi="Times New Roman" w:cs="Times New Roman"/>
          <w:noProof/>
          <w:sz w:val="24"/>
          <w:szCs w:val="24"/>
        </w:rPr>
        <w:t xml:space="preserve"> are OA, 3,216 are restricted (i.e., OA but with a more restrictive license or restricted to specific groups), while 315 are still in embargo.  </w:t>
      </w:r>
      <w:r>
        <w:rPr>
          <w:rFonts w:ascii="Times New Roman" w:hAnsi="Times New Roman" w:cs="Times New Roman"/>
          <w:noProof/>
          <w:color w:val="E36C0A" w:themeColor="accent6" w:themeShade="BF"/>
          <w:sz w:val="24"/>
          <w:szCs w:val="24"/>
        </w:rPr>
        <w:t>This translates to a 54,2% success rate.</w:t>
      </w:r>
    </w:p>
    <w:p w:rsidR="00E535A0" w:rsidRDefault="00C953F5">
      <w:pPr>
        <w:pBdr>
          <w:top w:val="single" w:sz="4" w:space="1" w:color="4BACC6" w:themeColor="accent5"/>
          <w:left w:val="single" w:sz="4" w:space="4" w:color="4BACC6" w:themeColor="accent5"/>
          <w:bottom w:val="single" w:sz="4" w:space="1" w:color="4BACC6" w:themeColor="accent5"/>
          <w:right w:val="single" w:sz="4" w:space="4" w:color="4BACC6" w:themeColor="accent5"/>
        </w:pBdr>
        <w:spacing w:after="0"/>
        <w:rPr>
          <w:rFonts w:ascii="Times New Roman" w:hAnsi="Times New Roman" w:cs="Times New Roman"/>
          <w:noProof/>
          <w:sz w:val="24"/>
          <w:szCs w:val="24"/>
        </w:rPr>
      </w:pPr>
      <w:r>
        <w:rPr>
          <w:rFonts w:ascii="Times New Roman" w:hAnsi="Times New Roman" w:cs="Times New Roman"/>
          <w:noProof/>
          <w:sz w:val="24"/>
          <w:szCs w:val="24"/>
        </w:rPr>
        <w:t xml:space="preserve">FP7 with SC39 clause (OA pilot) - 1,907 projects – 1,533 (80,3%) of them have ended. </w:t>
      </w:r>
    </w:p>
    <w:p w:rsidR="00E535A0" w:rsidRDefault="00C953F5">
      <w:pPr>
        <w:pBdr>
          <w:top w:val="single" w:sz="4" w:space="1" w:color="4BACC6" w:themeColor="accent5"/>
          <w:left w:val="single" w:sz="4" w:space="4" w:color="4BACC6" w:themeColor="accent5"/>
          <w:bottom w:val="single" w:sz="4" w:space="1" w:color="4BACC6" w:themeColor="accent5"/>
          <w:right w:val="single" w:sz="4" w:space="4" w:color="4BACC6" w:themeColor="accent5"/>
        </w:pBdr>
        <w:spacing w:after="0"/>
        <w:rPr>
          <w:rFonts w:ascii="Times New Roman" w:hAnsi="Times New Roman" w:cs="Times New Roman"/>
          <w:noProof/>
          <w:sz w:val="24"/>
          <w:szCs w:val="24"/>
        </w:rPr>
      </w:pPr>
      <w:r>
        <w:rPr>
          <w:rFonts w:ascii="Times New Roman" w:hAnsi="Times New Roman" w:cs="Times New Roman"/>
          <w:noProof/>
          <w:sz w:val="24"/>
          <w:szCs w:val="24"/>
        </w:rPr>
        <w:t xml:space="preserve">21,535 publications from 1,203 projects  - 12,740 are OA which is </w:t>
      </w:r>
      <w:r>
        <w:rPr>
          <w:rFonts w:ascii="Times New Roman" w:hAnsi="Times New Roman" w:cs="Times New Roman"/>
          <w:noProof/>
          <w:color w:val="E36C0A" w:themeColor="accent6" w:themeShade="BF"/>
          <w:sz w:val="24"/>
          <w:szCs w:val="24"/>
        </w:rPr>
        <w:t>about 59% success rate.</w:t>
      </w:r>
    </w:p>
    <w:p w:rsidR="00E535A0" w:rsidRDefault="00E535A0">
      <w:pPr>
        <w:rPr>
          <w:rFonts w:ascii="Times New Roman" w:hAnsi="Times New Roman" w:cs="Times New Roman"/>
          <w:noProof/>
          <w:sz w:val="24"/>
          <w:szCs w:val="24"/>
        </w:rPr>
      </w:pPr>
    </w:p>
    <w:p w:rsidR="00E535A0" w:rsidRDefault="00C953F5">
      <w:pPr>
        <w:keepNext/>
        <w:jc w:val="center"/>
        <w:rPr>
          <w:rFonts w:asciiTheme="majorHAnsi" w:hAnsiTheme="majorHAnsi"/>
          <w:noProof/>
        </w:rPr>
      </w:pPr>
      <w:r>
        <w:rPr>
          <w:noProof/>
          <w:lang w:val="de-DE" w:eastAsia="de-DE"/>
        </w:rPr>
        <w:drawing>
          <wp:inline distT="0" distB="0" distL="0" distR="0">
            <wp:extent cx="4101465" cy="2885440"/>
            <wp:effectExtent l="0" t="0" r="13335"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535A0" w:rsidRDefault="00C953F5">
      <w:pPr>
        <w:pStyle w:val="Beschriftung"/>
        <w:jc w:val="center"/>
        <w:rPr>
          <w:noProof/>
          <w:lang w:val="en-GB"/>
        </w:rPr>
      </w:pPr>
      <w:r>
        <w:rPr>
          <w:noProof/>
          <w:lang w:val="en-GB"/>
        </w:rPr>
        <w:t>Figure 5. Overall FP7 OA evaluation</w:t>
      </w:r>
    </w:p>
    <w:p w:rsidR="00E535A0" w:rsidRDefault="00C953F5">
      <w:pPr>
        <w:keepNext/>
        <w:jc w:val="center"/>
        <w:rPr>
          <w:noProof/>
        </w:rPr>
      </w:pPr>
      <w:r>
        <w:rPr>
          <w:noProof/>
          <w:lang w:val="de-DE" w:eastAsia="de-DE"/>
        </w:rPr>
        <w:drawing>
          <wp:inline distT="0" distB="0" distL="0" distR="0">
            <wp:extent cx="4209415" cy="3152140"/>
            <wp:effectExtent l="0" t="0" r="6985" b="228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535A0" w:rsidRDefault="00C953F5">
      <w:pPr>
        <w:pStyle w:val="Beschriftung"/>
        <w:jc w:val="center"/>
        <w:rPr>
          <w:noProof/>
          <w:lang w:val="en-GB"/>
        </w:rPr>
      </w:pPr>
      <w:r>
        <w:rPr>
          <w:noProof/>
          <w:lang w:val="en-GB"/>
        </w:rPr>
        <w:t xml:space="preserve">Figure 5. FP7 OA pilot (SC39) </w:t>
      </w:r>
      <w:r>
        <w:rPr>
          <w:noProof/>
          <w:lang w:val="en-GB"/>
        </w:rPr>
        <w:t>evaluation.</w:t>
      </w:r>
    </w:p>
    <w:p w:rsidR="00E535A0" w:rsidRDefault="00E535A0">
      <w:pPr>
        <w:rPr>
          <w:noProof/>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highlight w:val="yellow"/>
        </w:rPr>
        <w:fldChar w:fldCharType="begin"/>
      </w:r>
      <w:r>
        <w:rPr>
          <w:rFonts w:ascii="Times New Roman" w:hAnsi="Times New Roman" w:cs="Times New Roman"/>
          <w:noProof/>
          <w:sz w:val="24"/>
          <w:szCs w:val="24"/>
        </w:rPr>
        <w:instrText xml:space="preserve"> REF _Ref301170572 \h </w:instrText>
      </w:r>
      <w:r>
        <w:rPr>
          <w:rFonts w:ascii="Times New Roman" w:hAnsi="Times New Roman" w:cs="Times New Roman"/>
          <w:noProof/>
          <w:sz w:val="24"/>
          <w:szCs w:val="24"/>
          <w:highlight w:val="yellow"/>
        </w:rPr>
        <w:instrText xml:space="preserve"> \* MERGEFORMAT </w:instrText>
      </w:r>
      <w:r>
        <w:rPr>
          <w:rFonts w:ascii="Times New Roman" w:hAnsi="Times New Roman" w:cs="Times New Roman"/>
          <w:noProof/>
          <w:sz w:val="24"/>
          <w:szCs w:val="24"/>
          <w:highlight w:val="yellow"/>
        </w:rPr>
      </w:r>
      <w:r>
        <w:rPr>
          <w:rFonts w:ascii="Times New Roman" w:hAnsi="Times New Roman" w:cs="Times New Roman"/>
          <w:noProof/>
          <w:sz w:val="24"/>
          <w:szCs w:val="24"/>
          <w:highlight w:val="yellow"/>
        </w:rPr>
        <w:fldChar w:fldCharType="separate"/>
      </w:r>
      <w:r>
        <w:rPr>
          <w:rFonts w:ascii="Times New Roman" w:hAnsi="Times New Roman" w:cs="Times New Roman"/>
          <w:noProof/>
          <w:sz w:val="24"/>
          <w:szCs w:val="24"/>
        </w:rPr>
        <w:t xml:space="preserve">Table </w:t>
      </w:r>
      <w:r>
        <w:rPr>
          <w:rFonts w:ascii="Times New Roman" w:hAnsi="Times New Roman" w:cs="Times New Roman"/>
          <w:noProof/>
          <w:sz w:val="24"/>
          <w:szCs w:val="24"/>
          <w:highlight w:val="yellow"/>
        </w:rPr>
        <w:fldChar w:fldCharType="end"/>
      </w:r>
      <w:r>
        <w:rPr>
          <w:rFonts w:ascii="Times New Roman" w:hAnsi="Times New Roman" w:cs="Times New Roman"/>
          <w:noProof/>
          <w:sz w:val="24"/>
          <w:szCs w:val="24"/>
        </w:rPr>
        <w:t xml:space="preserve">5 shows the breakdown of FP7 publications from 2007-2015 broken down by their  access state. The overall data is somewhat biased to </w:t>
      </w:r>
      <w:r>
        <w:rPr>
          <w:rFonts w:ascii="Times New Roman" w:hAnsi="Times New Roman" w:cs="Times New Roman"/>
          <w:noProof/>
          <w:sz w:val="24"/>
          <w:szCs w:val="24"/>
        </w:rPr>
        <w:t>closed access as a) we cannot easily define OA articles in hybrid journals, and b) there is still a large number of not fully OpenAIRE compliant repositories (i.e., no funding information attached to the publication metadata) so FP7 publications may have b</w:t>
      </w:r>
      <w:r>
        <w:rPr>
          <w:rFonts w:ascii="Times New Roman" w:hAnsi="Times New Roman" w:cs="Times New Roman"/>
          <w:noProof/>
          <w:sz w:val="24"/>
          <w:szCs w:val="24"/>
        </w:rPr>
        <w:t xml:space="preserve">een deposited but not yet identified. </w:t>
      </w:r>
    </w:p>
    <w:p w:rsidR="00E535A0" w:rsidRDefault="00C953F5">
      <w:pPr>
        <w:pStyle w:val="Beschriftung"/>
        <w:keepNext/>
        <w:rPr>
          <w:noProof/>
          <w:lang w:val="en-GB"/>
        </w:rPr>
      </w:pPr>
      <w:r>
        <w:rPr>
          <w:noProof/>
          <w:lang w:val="en-GB"/>
        </w:rPr>
        <w:t>Table 5. FP7 publications 2007-2015 by access status</w:t>
      </w:r>
    </w:p>
    <w:tbl>
      <w:tblPr>
        <w:tblStyle w:val="MittlereListe2-Akzent5"/>
        <w:tblW w:w="9962" w:type="dxa"/>
        <w:tblLayout w:type="fixed"/>
        <w:tblLook w:val="04A0" w:firstRow="1" w:lastRow="0" w:firstColumn="1" w:lastColumn="0" w:noHBand="0" w:noVBand="1"/>
      </w:tblPr>
      <w:tblGrid>
        <w:gridCol w:w="817"/>
        <w:gridCol w:w="453"/>
        <w:gridCol w:w="1532"/>
        <w:gridCol w:w="1701"/>
        <w:gridCol w:w="1134"/>
        <w:gridCol w:w="1417"/>
        <w:gridCol w:w="992"/>
        <w:gridCol w:w="1916"/>
      </w:tblGrid>
      <w:tr w:rsidR="00E535A0" w:rsidTr="00E535A0">
        <w:trPr>
          <w:cnfStyle w:val="100000000000" w:firstRow="1" w:lastRow="0" w:firstColumn="0" w:lastColumn="0" w:oddVBand="0" w:evenVBand="0" w:oddHBand="0" w:evenHBand="0" w:firstRowFirstColumn="0" w:firstRowLastColumn="0" w:lastRowFirstColumn="0" w:lastRowLastColumn="0"/>
          <w:trHeight w:val="291"/>
        </w:trPr>
        <w:tc>
          <w:tcPr>
            <w:cnfStyle w:val="001000000100" w:firstRow="0" w:lastRow="0" w:firstColumn="1" w:lastColumn="0" w:oddVBand="0" w:evenVBand="0" w:oddHBand="0" w:evenHBand="0" w:firstRowFirstColumn="1" w:firstRowLastColumn="0" w:lastRowFirstColumn="0" w:lastRowLastColumn="0"/>
            <w:tcW w:w="1270" w:type="dxa"/>
            <w:gridSpan w:val="2"/>
            <w:hideMark/>
          </w:tcPr>
          <w:p w:rsidR="00E535A0" w:rsidRDefault="00C953F5">
            <w:pPr>
              <w:rPr>
                <w:noProof/>
                <w:lang w:val="en-GB"/>
              </w:rPr>
            </w:pPr>
            <w:r>
              <w:rPr>
                <w:noProof/>
                <w:lang w:val="en-GB"/>
              </w:rPr>
              <w:t xml:space="preserve">Year </w:t>
            </w:r>
          </w:p>
        </w:tc>
        <w:tc>
          <w:tcPr>
            <w:tcW w:w="1532"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Open Access</w:t>
            </w:r>
          </w:p>
        </w:tc>
        <w:tc>
          <w:tcPr>
            <w:tcW w:w="1701"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Closed Access</w:t>
            </w:r>
          </w:p>
        </w:tc>
        <w:tc>
          <w:tcPr>
            <w:tcW w:w="1134"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Embargo</w:t>
            </w:r>
          </w:p>
        </w:tc>
        <w:tc>
          <w:tcPr>
            <w:tcW w:w="1417"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Restricted</w:t>
            </w:r>
          </w:p>
        </w:tc>
        <w:tc>
          <w:tcPr>
            <w:tcW w:w="992" w:type="dxa"/>
            <w:hideMark/>
          </w:tcPr>
          <w:p w:rsidR="00E535A0" w:rsidRDefault="00C953F5">
            <w:pP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Total</w:t>
            </w:r>
          </w:p>
        </w:tc>
        <w:tc>
          <w:tcPr>
            <w:tcW w:w="1916" w:type="dxa"/>
          </w:tcPr>
          <w:p w:rsidR="00E535A0" w:rsidRDefault="00C953F5">
            <w:pP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OA success rate</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2007</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142</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14</w:t>
            </w:r>
          </w:p>
        </w:tc>
        <w:tc>
          <w:tcPr>
            <w:tcW w:w="1134" w:type="dxa"/>
            <w:vAlign w:val="bottom"/>
            <w:hideMark/>
          </w:tcPr>
          <w:p w:rsidR="00E535A0" w:rsidRDefault="00E535A0">
            <w:pPr>
              <w:cnfStyle w:val="000000100000" w:firstRow="0" w:lastRow="0" w:firstColumn="0" w:lastColumn="0" w:oddVBand="0" w:evenVBand="0" w:oddHBand="1" w:evenHBand="0" w:firstRowFirstColumn="0" w:firstRowLastColumn="0" w:lastRowFirstColumn="0" w:lastRowLastColumn="0"/>
              <w:rPr>
                <w:noProof/>
                <w:lang w:val="en-GB"/>
              </w:rPr>
            </w:pP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8</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164</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87%</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2008</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783</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295</w:t>
            </w:r>
          </w:p>
        </w:tc>
        <w:tc>
          <w:tcPr>
            <w:tcW w:w="1134" w:type="dxa"/>
            <w:vAlign w:val="bottom"/>
            <w:hideMark/>
          </w:tcPr>
          <w:p w:rsidR="00E535A0" w:rsidRDefault="00E535A0">
            <w:pPr>
              <w:cnfStyle w:val="000000000000" w:firstRow="0" w:lastRow="0" w:firstColumn="0" w:lastColumn="0" w:oddVBand="0" w:evenVBand="0" w:oddHBand="0" w:evenHBand="0" w:firstRowFirstColumn="0" w:firstRowLastColumn="0" w:lastRowFirstColumn="0" w:lastRowLastColumn="0"/>
              <w:rPr>
                <w:noProof/>
                <w:lang w:val="en-GB"/>
              </w:rPr>
            </w:pP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52</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1,130</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b/>
                <w:noProof/>
                <w:lang w:val="en-GB"/>
              </w:rPr>
              <w:t>69%</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2009</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3,179</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1,992</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147</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5,319</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60%</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2010</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7,039</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5,063</w:t>
            </w:r>
          </w:p>
        </w:tc>
        <w:tc>
          <w:tcPr>
            <w:tcW w:w="1134"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w:t>
            </w: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291</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12,400</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b/>
                <w:noProof/>
                <w:lang w:val="en-GB"/>
              </w:rPr>
              <w:t>57%</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2011</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11,385</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9,534</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14</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502</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21,438</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53%</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2012</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17,271</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14,345</w:t>
            </w:r>
          </w:p>
        </w:tc>
        <w:tc>
          <w:tcPr>
            <w:tcW w:w="1134"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37</w:t>
            </w: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567</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32,237</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b/>
                <w:noProof/>
                <w:lang w:val="en-GB"/>
              </w:rPr>
              <w:t>54%</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2013</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23,035</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18,245</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49</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673</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42,019</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55%</w:t>
            </w:r>
          </w:p>
        </w:tc>
      </w:tr>
      <w:tr w:rsidR="00E535A0" w:rsidTr="00E535A0">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2014</w:t>
            </w:r>
          </w:p>
        </w:tc>
        <w:tc>
          <w:tcPr>
            <w:tcW w:w="1985" w:type="dxa"/>
            <w:gridSpan w:val="2"/>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21,911</w:t>
            </w:r>
          </w:p>
        </w:tc>
        <w:tc>
          <w:tcPr>
            <w:tcW w:w="1701"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10,276</w:t>
            </w:r>
          </w:p>
        </w:tc>
        <w:tc>
          <w:tcPr>
            <w:tcW w:w="1134"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106</w:t>
            </w:r>
          </w:p>
        </w:tc>
        <w:tc>
          <w:tcPr>
            <w:tcW w:w="1417"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478</w:t>
            </w:r>
          </w:p>
        </w:tc>
        <w:tc>
          <w:tcPr>
            <w:tcW w:w="992" w:type="dxa"/>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32,797</w:t>
            </w:r>
          </w:p>
        </w:tc>
        <w:tc>
          <w:tcPr>
            <w:tcW w:w="1916" w:type="dxa"/>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b/>
                <w:noProof/>
                <w:lang w:val="en-GB"/>
              </w:rPr>
              <w:t>67%</w:t>
            </w:r>
          </w:p>
        </w:tc>
      </w:tr>
      <w:tr w:rsidR="00E535A0" w:rsidTr="00E5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rsidR="00E535A0" w:rsidRDefault="00C953F5">
            <w:pPr>
              <w:rPr>
                <w:noProof/>
                <w:lang w:val="en-GB"/>
              </w:rPr>
            </w:pPr>
            <w:r>
              <w:rPr>
                <w:noProof/>
                <w:lang w:val="en-GB"/>
              </w:rPr>
              <w:t>2015</w:t>
            </w:r>
          </w:p>
        </w:tc>
        <w:tc>
          <w:tcPr>
            <w:tcW w:w="1985" w:type="dxa"/>
            <w:gridSpan w:val="2"/>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5,871</w:t>
            </w:r>
          </w:p>
        </w:tc>
        <w:tc>
          <w:tcPr>
            <w:tcW w:w="1701"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952</w:t>
            </w:r>
          </w:p>
        </w:tc>
        <w:tc>
          <w:tcPr>
            <w:tcW w:w="1134"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102</w:t>
            </w:r>
          </w:p>
        </w:tc>
        <w:tc>
          <w:tcPr>
            <w:tcW w:w="1417"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239</w:t>
            </w:r>
          </w:p>
        </w:tc>
        <w:tc>
          <w:tcPr>
            <w:tcW w:w="992" w:type="dxa"/>
            <w:vAlign w:val="bottom"/>
            <w:hideMark/>
          </w:tcPr>
          <w:p w:rsidR="00E535A0" w:rsidRDefault="00C953F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7,319</w:t>
            </w:r>
          </w:p>
        </w:tc>
        <w:tc>
          <w:tcPr>
            <w:tcW w:w="1916" w:type="dxa"/>
            <w:vAlign w:val="bottom"/>
          </w:tcPr>
          <w:p w:rsidR="00E535A0" w:rsidRDefault="00C953F5">
            <w:pPr>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80%</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4BACC6" w:themeColor="accent5"/>
            </w:tcBorders>
            <w:shd w:val="clear" w:color="auto" w:fill="auto"/>
            <w:noWrap/>
            <w:hideMark/>
          </w:tcPr>
          <w:p w:rsidR="00E535A0" w:rsidRDefault="00C953F5">
            <w:pPr>
              <w:rPr>
                <w:b/>
                <w:noProof/>
                <w:lang w:val="en-GB"/>
              </w:rPr>
            </w:pPr>
            <w:r>
              <w:rPr>
                <w:b/>
                <w:noProof/>
                <w:lang w:val="en-GB"/>
              </w:rPr>
              <w:t>Total</w:t>
            </w:r>
          </w:p>
        </w:tc>
        <w:tc>
          <w:tcPr>
            <w:tcW w:w="1985" w:type="dxa"/>
            <w:gridSpan w:val="2"/>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rFonts w:ascii="Calibri" w:eastAsia="Times New Roman" w:hAnsi="Calibri"/>
                <w:b/>
                <w:noProof/>
                <w:color w:val="000000"/>
                <w:sz w:val="22"/>
                <w:szCs w:val="22"/>
                <w:lang w:val="en-GB"/>
              </w:rPr>
              <w:t>90,616</w:t>
            </w:r>
          </w:p>
        </w:tc>
        <w:tc>
          <w:tcPr>
            <w:tcW w:w="1701"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rFonts w:ascii="Calibri" w:eastAsia="Times New Roman" w:hAnsi="Calibri"/>
                <w:b/>
                <w:noProof/>
                <w:color w:val="000000"/>
                <w:sz w:val="22"/>
                <w:szCs w:val="22"/>
                <w:lang w:val="en-GB"/>
              </w:rPr>
              <w:t>60,716</w:t>
            </w:r>
          </w:p>
        </w:tc>
        <w:tc>
          <w:tcPr>
            <w:tcW w:w="1134"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rFonts w:ascii="Calibri" w:eastAsia="Times New Roman" w:hAnsi="Calibri"/>
                <w:b/>
                <w:noProof/>
                <w:color w:val="000000"/>
                <w:sz w:val="22"/>
                <w:szCs w:val="22"/>
                <w:lang w:val="en-GB"/>
              </w:rPr>
              <w:t>312</w:t>
            </w:r>
          </w:p>
        </w:tc>
        <w:tc>
          <w:tcPr>
            <w:tcW w:w="1417"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rFonts w:ascii="Calibri" w:eastAsia="Times New Roman" w:hAnsi="Calibri"/>
                <w:b/>
                <w:noProof/>
                <w:color w:val="000000"/>
                <w:sz w:val="22"/>
                <w:szCs w:val="22"/>
                <w:lang w:val="en-GB"/>
              </w:rPr>
              <w:t>2,957</w:t>
            </w:r>
          </w:p>
        </w:tc>
        <w:tc>
          <w:tcPr>
            <w:tcW w:w="992" w:type="dxa"/>
            <w:tcBorders>
              <w:top w:val="single" w:sz="4" w:space="0" w:color="4BACC6" w:themeColor="accent5"/>
            </w:tcBorders>
            <w:shd w:val="clear" w:color="auto" w:fill="auto"/>
            <w:noWrap/>
            <w:vAlign w:val="bottom"/>
            <w:hideMark/>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rFonts w:ascii="Calibri" w:eastAsia="Times New Roman" w:hAnsi="Calibri"/>
                <w:b/>
                <w:noProof/>
                <w:color w:val="000000"/>
                <w:sz w:val="22"/>
                <w:szCs w:val="22"/>
                <w:lang w:val="en-GB"/>
              </w:rPr>
              <w:t>154,823</w:t>
            </w:r>
          </w:p>
        </w:tc>
        <w:tc>
          <w:tcPr>
            <w:tcW w:w="1916" w:type="dxa"/>
            <w:tcBorders>
              <w:top w:val="single" w:sz="4" w:space="0" w:color="4BACC6" w:themeColor="accent5"/>
            </w:tcBorders>
            <w:shd w:val="clear" w:color="auto" w:fill="auto"/>
            <w:vAlign w:val="bottom"/>
          </w:tcPr>
          <w:p w:rsidR="00E535A0" w:rsidRDefault="00C953F5">
            <w:pPr>
              <w:cnfStyle w:val="000000000000" w:firstRow="0" w:lastRow="0" w:firstColumn="0" w:lastColumn="0" w:oddVBand="0" w:evenVBand="0" w:oddHBand="0" w:evenHBand="0" w:firstRowFirstColumn="0" w:firstRowLastColumn="0" w:lastRowFirstColumn="0" w:lastRowLastColumn="0"/>
              <w:rPr>
                <w:b/>
                <w:noProof/>
                <w:lang w:val="en-GB"/>
              </w:rPr>
            </w:pPr>
            <w:r>
              <w:rPr>
                <w:rFonts w:ascii="Calibri" w:eastAsia="Times New Roman" w:hAnsi="Calibri"/>
                <w:b/>
                <w:noProof/>
                <w:color w:val="000000"/>
                <w:sz w:val="22"/>
                <w:szCs w:val="22"/>
                <w:lang w:val="en-GB"/>
              </w:rPr>
              <w:t>59%</w:t>
            </w:r>
          </w:p>
        </w:tc>
      </w:tr>
    </w:tbl>
    <w:p w:rsidR="00E535A0" w:rsidRDefault="00E535A0">
      <w:pPr>
        <w:keepNext/>
        <w:jc w:val="center"/>
        <w:rPr>
          <w:noProof/>
        </w:rPr>
      </w:pPr>
    </w:p>
    <w:p w:rsidR="00E535A0" w:rsidRDefault="00E535A0">
      <w:pPr>
        <w:keepNext/>
        <w:jc w:val="center"/>
        <w:rPr>
          <w:noProof/>
        </w:rPr>
      </w:pPr>
    </w:p>
    <w:p w:rsidR="00E535A0" w:rsidRDefault="00C953F5">
      <w:pPr>
        <w:keepNext/>
        <w:jc w:val="center"/>
        <w:rPr>
          <w:noProof/>
        </w:rPr>
      </w:pPr>
      <w:r>
        <w:rPr>
          <w:noProof/>
          <w:lang w:val="de-DE" w:eastAsia="de-DE"/>
        </w:rPr>
        <w:drawing>
          <wp:inline distT="0" distB="0" distL="0" distR="0">
            <wp:extent cx="6188710" cy="299974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5-12-17 at 15.58.22.png"/>
                    <pic:cNvPicPr/>
                  </pic:nvPicPr>
                  <pic:blipFill>
                    <a:blip r:embed="rId87">
                      <a:extLst>
                        <a:ext uri="{28A0092B-C50C-407E-A947-70E740481C1C}">
                          <a14:useLocalDpi xmlns:a14="http://schemas.microsoft.com/office/drawing/2010/main" val="0"/>
                        </a:ext>
                      </a:extLst>
                    </a:blip>
                    <a:stretch>
                      <a:fillRect/>
                    </a:stretch>
                  </pic:blipFill>
                  <pic:spPr>
                    <a:xfrm>
                      <a:off x="0" y="0"/>
                      <a:ext cx="6188710" cy="2999740"/>
                    </a:xfrm>
                    <a:prstGeom prst="rect">
                      <a:avLst/>
                    </a:prstGeom>
                  </pic:spPr>
                </pic:pic>
              </a:graphicData>
            </a:graphic>
          </wp:inline>
        </w:drawing>
      </w:r>
    </w:p>
    <w:p w:rsidR="00E535A0" w:rsidRDefault="00C953F5">
      <w:pPr>
        <w:pStyle w:val="Beschriftung"/>
        <w:jc w:val="center"/>
        <w:rPr>
          <w:noProof/>
          <w:lang w:val="en-GB"/>
        </w:rPr>
      </w:pPr>
      <w:r>
        <w:rPr>
          <w:noProof/>
          <w:lang w:val="en-GB"/>
        </w:rPr>
        <w:t>Figure 6</w:t>
      </w:r>
      <w:r>
        <w:rPr>
          <w:noProof/>
          <w:lang w:val="en-GB"/>
        </w:rPr>
        <w:fldChar w:fldCharType="begin"/>
      </w:r>
      <w:r>
        <w:rPr>
          <w:noProof/>
          <w:lang w:val="en-GB"/>
        </w:rPr>
        <w:instrText xml:space="preserve"> SEQ Figure \* ARABIC </w:instrText>
      </w:r>
      <w:r>
        <w:rPr>
          <w:noProof/>
          <w:lang w:val="en-GB"/>
        </w:rPr>
        <w:fldChar w:fldCharType="end"/>
      </w:r>
      <w:r>
        <w:rPr>
          <w:noProof/>
          <w:lang w:val="en-GB"/>
        </w:rPr>
        <w:t xml:space="preserve">. FP7 timeline, including OA status. </w:t>
      </w:r>
    </w:p>
    <w:p w:rsidR="00E535A0" w:rsidRDefault="00E535A0">
      <w:pPr>
        <w:rPr>
          <w:noProof/>
        </w:rPr>
      </w:pPr>
    </w:p>
    <w:p w:rsidR="00E535A0" w:rsidRDefault="00C953F5">
      <w:pPr>
        <w:spacing w:after="0"/>
        <w:jc w:val="both"/>
        <w:rPr>
          <w:rFonts w:ascii="Times New Roman" w:hAnsi="Times New Roman" w:cs="Times New Roman"/>
          <w:b/>
          <w:noProof/>
        </w:rPr>
      </w:pPr>
      <w:r>
        <w:rPr>
          <w:rFonts w:ascii="Times New Roman" w:hAnsi="Times New Roman" w:cs="Times New Roman"/>
          <w:b/>
          <w:noProof/>
        </w:rPr>
        <w:t>Advanced statistics</w:t>
      </w:r>
    </w:p>
    <w:p w:rsidR="00E535A0" w:rsidRDefault="00C953F5">
      <w:pPr>
        <w:pStyle w:val="berschrift3"/>
        <w:rPr>
          <w:noProof/>
        </w:rPr>
      </w:pPr>
      <w:r>
        <w:rPr>
          <w:noProof/>
        </w:rPr>
        <w:t>Impact</w:t>
      </w:r>
    </w:p>
    <w:p w:rsidR="00E535A0" w:rsidRDefault="00C953F5">
      <w:pPr>
        <w:jc w:val="both"/>
        <w:rPr>
          <w:rFonts w:ascii="Times New Roman" w:hAnsi="Times New Roman" w:cs="Times New Roman"/>
          <w:noProof/>
        </w:rPr>
      </w:pPr>
      <w:r>
        <w:rPr>
          <w:rFonts w:ascii="Times New Roman" w:hAnsi="Times New Roman" w:cs="Times New Roman"/>
          <w:noProof/>
        </w:rPr>
        <w:t xml:space="preserve">After we cross-matched the OpenAIRE data to Scimago’s latest web files, we were able to come up with the data in </w:t>
      </w:r>
      <w:r>
        <w:rPr>
          <w:rFonts w:ascii="Times New Roman" w:hAnsi="Times New Roman" w:cs="Times New Roman"/>
          <w:noProof/>
        </w:rPr>
        <w:fldChar w:fldCharType="begin"/>
      </w:r>
      <w:r>
        <w:rPr>
          <w:rFonts w:ascii="Times New Roman" w:hAnsi="Times New Roman" w:cs="Times New Roman"/>
          <w:noProof/>
        </w:rPr>
        <w:instrText xml:space="preserve"> REF _Ref301530120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rPr>
        <w:t>Table 6</w:t>
      </w:r>
      <w:r>
        <w:rPr>
          <w:rFonts w:ascii="Times New Roman" w:hAnsi="Times New Roman" w:cs="Times New Roman"/>
          <w:noProof/>
        </w:rPr>
        <w:fldChar w:fldCharType="end"/>
      </w:r>
      <w:r>
        <w:rPr>
          <w:rFonts w:ascii="Times New Roman" w:hAnsi="Times New Roman" w:cs="Times New Roman"/>
          <w:noProof/>
        </w:rPr>
        <w:t xml:space="preserve">. </w:t>
      </w:r>
      <w:r>
        <w:rPr>
          <w:rFonts w:ascii="Times New Roman" w:hAnsi="Times New Roman" w:cs="Times New Roman"/>
          <w:i/>
          <w:noProof/>
        </w:rPr>
        <w:t>“High impact” journals are statistically computed for each thematic area by retrieving journals with the top 25% higher citation factors</w:t>
      </w:r>
      <w:r>
        <w:rPr>
          <w:rFonts w:ascii="Times New Roman" w:hAnsi="Times New Roman" w:cs="Times New Roman"/>
          <w:noProof/>
        </w:rPr>
        <w:t>.</w:t>
      </w:r>
    </w:p>
    <w:p w:rsidR="00E535A0" w:rsidRDefault="00C953F5">
      <w:pPr>
        <w:pStyle w:val="Beschriftung"/>
        <w:keepNext/>
        <w:rPr>
          <w:noProof/>
          <w:lang w:val="en-GB"/>
        </w:rPr>
      </w:pPr>
      <w:r>
        <w:rPr>
          <w:noProof/>
          <w:lang w:val="en-GB"/>
        </w:rPr>
        <w:t>Tabl</w:t>
      </w:r>
      <w:r>
        <w:rPr>
          <w:noProof/>
          <w:lang w:val="en-GB"/>
        </w:rPr>
        <w:t>e 6. Impact of FP7 articles from Scimago citation factors.</w:t>
      </w:r>
    </w:p>
    <w:tbl>
      <w:tblPr>
        <w:tblStyle w:val="MittlereListe2-Akzent5"/>
        <w:tblW w:w="0" w:type="auto"/>
        <w:tblLayout w:type="fixed"/>
        <w:tblLook w:val="04A0" w:firstRow="1" w:lastRow="0" w:firstColumn="1" w:lastColumn="0" w:noHBand="0" w:noVBand="1"/>
      </w:tblPr>
      <w:tblGrid>
        <w:gridCol w:w="959"/>
        <w:gridCol w:w="283"/>
        <w:gridCol w:w="1560"/>
        <w:gridCol w:w="1701"/>
        <w:gridCol w:w="1134"/>
        <w:gridCol w:w="1417"/>
        <w:gridCol w:w="1701"/>
        <w:gridCol w:w="1207"/>
      </w:tblGrid>
      <w:tr w:rsidR="00E535A0" w:rsidTr="00E535A0">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959" w:type="dxa"/>
            <w:noWrap/>
            <w:hideMark/>
          </w:tcPr>
          <w:p w:rsidR="00E535A0" w:rsidRDefault="00C953F5">
            <w:pPr>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Funding Area</w:t>
            </w:r>
          </w:p>
        </w:tc>
        <w:tc>
          <w:tcPr>
            <w:tcW w:w="1843" w:type="dxa"/>
            <w:gridSpan w:val="2"/>
            <w:noWrap/>
            <w:hideMark/>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Articles in 'peer-reviewed journals'</w:t>
            </w:r>
          </w:p>
        </w:tc>
        <w:tc>
          <w:tcPr>
            <w:tcW w:w="1701" w:type="dxa"/>
            <w:noWrap/>
            <w:hideMark/>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Articles in 'peer-reviewed high impact journal'</w:t>
            </w:r>
          </w:p>
        </w:tc>
        <w:tc>
          <w:tcPr>
            <w:tcW w:w="1134" w:type="dxa"/>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High impact success rate</w:t>
            </w:r>
          </w:p>
        </w:tc>
        <w:tc>
          <w:tcPr>
            <w:tcW w:w="1417" w:type="dxa"/>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OA articles in 'peer-reviewed journals'</w:t>
            </w:r>
          </w:p>
        </w:tc>
        <w:tc>
          <w:tcPr>
            <w:tcW w:w="1701" w:type="dxa"/>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OA articles in 'peer-reviewed high</w:t>
            </w:r>
            <w:r>
              <w:rPr>
                <w:rFonts w:ascii="Calibri" w:eastAsia="Times New Roman" w:hAnsi="Calibri" w:cs="Times New Roman"/>
                <w:bCs/>
                <w:noProof/>
                <w:color w:val="000000"/>
                <w:sz w:val="22"/>
                <w:szCs w:val="22"/>
                <w:lang w:val="en-GB"/>
              </w:rPr>
              <w:t xml:space="preserve"> impact journal'</w:t>
            </w:r>
          </w:p>
        </w:tc>
        <w:tc>
          <w:tcPr>
            <w:tcW w:w="1207" w:type="dxa"/>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noProof/>
                <w:color w:val="000000"/>
                <w:sz w:val="22"/>
                <w:szCs w:val="22"/>
                <w:lang w:val="en-GB"/>
              </w:rPr>
            </w:pPr>
            <w:r>
              <w:rPr>
                <w:rFonts w:ascii="Calibri" w:eastAsia="Times New Roman" w:hAnsi="Calibri" w:cs="Times New Roman"/>
                <w:bCs/>
                <w:noProof/>
                <w:color w:val="000000"/>
                <w:sz w:val="22"/>
                <w:szCs w:val="22"/>
                <w:lang w:val="en-GB"/>
              </w:rPr>
              <w:t>Overall OA success rate</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ENERGY</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1,505</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1,050</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70%</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477</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309</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32%</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ENV</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5,794</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4,213</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73%</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2,638</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1984</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46%</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ERC</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39,788</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26,858</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68%</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27,077</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17,857</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68%</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Fission</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507</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222</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44%</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128</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62</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25%</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Fusion</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29%</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43%</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GA</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258</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94</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36%</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97</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41</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38%</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HEALTH</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18,601</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15,579</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84%</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10,277</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8,785</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55%</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ICT</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14,347</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6,988</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49%</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6,732</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3,279</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47%</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INCO</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74</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24</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32%</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21</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10</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28%</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INFRA</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6,025</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3,052</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51%</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3,723</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1,791</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62%</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KBBE</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5,209</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3,812</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73%</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2,524</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2,003</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48%</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NMP</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5,436</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3,839</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71%</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1,577</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1,026</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29%</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PEOPLE</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17,136</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10,463</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61%</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11,171</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6,302</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65%</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REGIONS</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14</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50%</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9</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64%</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REGPOT</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1,488</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864</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58%</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748</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450</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50%</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SEC</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371</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217</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58%</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112</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66</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30%</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SME</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423</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263</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62%</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138</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86</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33%</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SPA</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1,398</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961</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69%</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828</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620</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59%</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SSH</w:t>
            </w:r>
          </w:p>
        </w:tc>
        <w:tc>
          <w:tcPr>
            <w:tcW w:w="1560"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242</w:t>
            </w:r>
          </w:p>
        </w:tc>
        <w:tc>
          <w:tcPr>
            <w:tcW w:w="1701" w:type="dxa"/>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178</w:t>
            </w:r>
          </w:p>
        </w:tc>
        <w:tc>
          <w:tcPr>
            <w:tcW w:w="1134"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74%</w:t>
            </w:r>
          </w:p>
        </w:tc>
        <w:tc>
          <w:tcPr>
            <w:tcW w:w="141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170</w:t>
            </w:r>
          </w:p>
        </w:tc>
        <w:tc>
          <w:tcPr>
            <w:tcW w:w="1701"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123</w:t>
            </w:r>
          </w:p>
        </w:tc>
        <w:tc>
          <w:tcPr>
            <w:tcW w:w="1207" w:type="dxa"/>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70%</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SiS</w:t>
            </w:r>
          </w:p>
        </w:tc>
        <w:tc>
          <w:tcPr>
            <w:tcW w:w="1560"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62</w:t>
            </w:r>
          </w:p>
        </w:tc>
        <w:tc>
          <w:tcPr>
            <w:tcW w:w="1701" w:type="dxa"/>
            <w:noWrap/>
            <w:vAlign w:val="bottom"/>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31</w:t>
            </w:r>
          </w:p>
        </w:tc>
        <w:tc>
          <w:tcPr>
            <w:tcW w:w="1134"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50%</w:t>
            </w:r>
          </w:p>
        </w:tc>
        <w:tc>
          <w:tcPr>
            <w:tcW w:w="141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33</w:t>
            </w:r>
          </w:p>
        </w:tc>
        <w:tc>
          <w:tcPr>
            <w:tcW w:w="1701"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17</w:t>
            </w:r>
          </w:p>
        </w:tc>
        <w:tc>
          <w:tcPr>
            <w:tcW w:w="1207" w:type="dxa"/>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53%</w:t>
            </w:r>
          </w:p>
        </w:tc>
      </w:tr>
      <w:tr w:rsidR="00E535A0" w:rsidTr="00E535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42" w:type="dxa"/>
            <w:gridSpan w:val="2"/>
            <w:tcBorders>
              <w:bottom w:val="single" w:sz="4" w:space="0" w:color="4BACC6" w:themeColor="accent5"/>
            </w:tcBorders>
            <w:noWrap/>
            <w:hideMark/>
          </w:tcPr>
          <w:p w:rsidR="00E535A0" w:rsidRDefault="00C953F5">
            <w:pPr>
              <w:rPr>
                <w:rFonts w:ascii="Calibri" w:eastAsia="Times New Roman" w:hAnsi="Calibri" w:cs="Times New Roman"/>
                <w:noProof/>
                <w:color w:val="000000"/>
                <w:sz w:val="22"/>
                <w:szCs w:val="22"/>
                <w:lang w:val="en-GB"/>
              </w:rPr>
            </w:pPr>
            <w:r>
              <w:rPr>
                <w:rFonts w:ascii="Calibri" w:eastAsia="Times New Roman" w:hAnsi="Calibri" w:cs="Times New Roman"/>
                <w:noProof/>
                <w:color w:val="000000"/>
                <w:sz w:val="22"/>
                <w:szCs w:val="22"/>
                <w:lang w:val="en-GB"/>
              </w:rPr>
              <w:t>TPT</w:t>
            </w:r>
          </w:p>
        </w:tc>
        <w:tc>
          <w:tcPr>
            <w:tcW w:w="1560" w:type="dxa"/>
            <w:tcBorders>
              <w:bottom w:val="single" w:sz="4" w:space="0" w:color="4BACC6" w:themeColor="accent5"/>
            </w:tcBorders>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688</w:t>
            </w:r>
          </w:p>
        </w:tc>
        <w:tc>
          <w:tcPr>
            <w:tcW w:w="1701" w:type="dxa"/>
            <w:tcBorders>
              <w:bottom w:val="single" w:sz="4" w:space="0" w:color="4BACC6" w:themeColor="accent5"/>
            </w:tcBorders>
            <w:noWrap/>
            <w:vAlign w:val="bottom"/>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374</w:t>
            </w:r>
          </w:p>
        </w:tc>
        <w:tc>
          <w:tcPr>
            <w:tcW w:w="1134" w:type="dxa"/>
            <w:tcBorders>
              <w:bottom w:val="single" w:sz="4" w:space="0" w:color="4BACC6" w:themeColor="accent5"/>
            </w:tcBorders>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54%</w:t>
            </w:r>
          </w:p>
        </w:tc>
        <w:tc>
          <w:tcPr>
            <w:tcW w:w="1417" w:type="dxa"/>
            <w:tcBorders>
              <w:bottom w:val="single" w:sz="4" w:space="0" w:color="4BACC6" w:themeColor="accent5"/>
            </w:tcBorders>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167</w:t>
            </w:r>
          </w:p>
        </w:tc>
        <w:tc>
          <w:tcPr>
            <w:tcW w:w="1701" w:type="dxa"/>
            <w:tcBorders>
              <w:bottom w:val="single" w:sz="4" w:space="0" w:color="4BACC6" w:themeColor="accent5"/>
            </w:tcBorders>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92</w:t>
            </w:r>
          </w:p>
        </w:tc>
        <w:tc>
          <w:tcPr>
            <w:tcW w:w="1207" w:type="dxa"/>
            <w:tcBorders>
              <w:bottom w:val="single" w:sz="4" w:space="0" w:color="4BACC6" w:themeColor="accent5"/>
            </w:tcBorders>
            <w:vAlign w:val="bottom"/>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 w:val="22"/>
                <w:szCs w:val="22"/>
                <w:lang w:val="en-GB"/>
              </w:rPr>
            </w:pPr>
            <w:r>
              <w:rPr>
                <w:rFonts w:eastAsia="MS Gothic" w:cs="Times New Roman"/>
                <w:noProof/>
                <w:color w:val="000000"/>
                <w:sz w:val="22"/>
                <w:szCs w:val="22"/>
                <w:lang w:val="en-GB"/>
              </w:rPr>
              <w:t>24%</w:t>
            </w:r>
          </w:p>
        </w:tc>
      </w:tr>
      <w:tr w:rsidR="00E535A0" w:rsidTr="00E535A0">
        <w:trPr>
          <w:trHeight w:val="280"/>
        </w:trPr>
        <w:tc>
          <w:tcPr>
            <w:cnfStyle w:val="001000000000" w:firstRow="0" w:lastRow="0" w:firstColumn="1" w:lastColumn="0" w:oddVBand="0" w:evenVBand="0" w:oddHBand="0" w:evenHBand="0" w:firstRowFirstColumn="0" w:firstRowLastColumn="0" w:lastRowFirstColumn="0" w:lastRowLastColumn="0"/>
            <w:tcW w:w="1242" w:type="dxa"/>
            <w:gridSpan w:val="2"/>
            <w:tcBorders>
              <w:top w:val="single" w:sz="4" w:space="0" w:color="4BACC6" w:themeColor="accent5"/>
            </w:tcBorders>
            <w:shd w:val="clear" w:color="auto" w:fill="auto"/>
            <w:noWrap/>
          </w:tcPr>
          <w:p w:rsidR="00E535A0" w:rsidRDefault="00C953F5">
            <w:pPr>
              <w:rPr>
                <w:rFonts w:ascii="Calibri" w:eastAsia="Times New Roman" w:hAnsi="Calibri" w:cs="Times New Roman"/>
                <w:b/>
                <w:noProof/>
                <w:color w:val="000000"/>
                <w:sz w:val="22"/>
                <w:szCs w:val="22"/>
                <w:lang w:val="en-GB"/>
              </w:rPr>
            </w:pPr>
            <w:r>
              <w:rPr>
                <w:rFonts w:ascii="Calibri" w:eastAsia="Times New Roman" w:hAnsi="Calibri" w:cs="Times New Roman"/>
                <w:b/>
                <w:noProof/>
                <w:color w:val="000000"/>
                <w:sz w:val="22"/>
                <w:szCs w:val="22"/>
                <w:lang w:val="en-GB"/>
              </w:rPr>
              <w:t>Total FP7</w:t>
            </w:r>
          </w:p>
        </w:tc>
        <w:tc>
          <w:tcPr>
            <w:tcW w:w="1560" w:type="dxa"/>
            <w:tcBorders>
              <w:top w:val="single" w:sz="4" w:space="0" w:color="4BACC6" w:themeColor="accent5"/>
              <w:bottom w:val="nil"/>
            </w:tcBorders>
            <w:shd w:val="clear" w:color="auto" w:fill="auto"/>
            <w:noWrap/>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119,373</w:t>
            </w:r>
          </w:p>
        </w:tc>
        <w:tc>
          <w:tcPr>
            <w:tcW w:w="1701" w:type="dxa"/>
            <w:tcBorders>
              <w:top w:val="single" w:sz="4" w:space="0" w:color="4BACC6" w:themeColor="accent5"/>
              <w:bottom w:val="nil"/>
            </w:tcBorders>
            <w:shd w:val="clear" w:color="auto" w:fill="auto"/>
            <w:noWrap/>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79,091</w:t>
            </w:r>
          </w:p>
        </w:tc>
        <w:tc>
          <w:tcPr>
            <w:tcW w:w="1134" w:type="dxa"/>
            <w:tcBorders>
              <w:top w:val="single" w:sz="4" w:space="0" w:color="4BACC6" w:themeColor="accent5"/>
              <w:bottom w:val="nil"/>
            </w:tcBorders>
            <w:shd w:val="clear" w:color="auto" w:fill="auto"/>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66%</w:t>
            </w:r>
          </w:p>
        </w:tc>
        <w:tc>
          <w:tcPr>
            <w:tcW w:w="1417" w:type="dxa"/>
            <w:tcBorders>
              <w:top w:val="single" w:sz="4" w:space="0" w:color="4BACC6" w:themeColor="accent5"/>
              <w:bottom w:val="nil"/>
            </w:tcBorders>
            <w:shd w:val="clear" w:color="auto" w:fill="auto"/>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68,650</w:t>
            </w:r>
          </w:p>
        </w:tc>
        <w:tc>
          <w:tcPr>
            <w:tcW w:w="1701" w:type="dxa"/>
            <w:tcBorders>
              <w:top w:val="single" w:sz="4" w:space="0" w:color="4BACC6" w:themeColor="accent5"/>
              <w:bottom w:val="nil"/>
            </w:tcBorders>
            <w:shd w:val="clear" w:color="auto" w:fill="auto"/>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44,919</w:t>
            </w:r>
          </w:p>
        </w:tc>
        <w:tc>
          <w:tcPr>
            <w:tcW w:w="1207" w:type="dxa"/>
            <w:tcBorders>
              <w:top w:val="single" w:sz="4" w:space="0" w:color="4BACC6" w:themeColor="accent5"/>
              <w:bottom w:val="nil"/>
            </w:tcBorders>
            <w:shd w:val="clear" w:color="auto" w:fill="auto"/>
            <w:vAlign w:val="bottom"/>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noProof/>
                <w:color w:val="000000"/>
                <w:sz w:val="22"/>
                <w:szCs w:val="22"/>
                <w:highlight w:val="green"/>
                <w:lang w:val="en-GB"/>
              </w:rPr>
            </w:pPr>
            <w:r>
              <w:rPr>
                <w:rFonts w:ascii="Calibri" w:eastAsia="Times New Roman" w:hAnsi="Calibri" w:cs="Times New Roman"/>
                <w:b/>
                <w:noProof/>
                <w:color w:val="000000"/>
                <w:sz w:val="22"/>
                <w:szCs w:val="22"/>
                <w:lang w:val="en-GB"/>
              </w:rPr>
              <w:t>58%</w:t>
            </w:r>
          </w:p>
        </w:tc>
      </w:tr>
    </w:tbl>
    <w:p w:rsidR="00E535A0" w:rsidRDefault="00E535A0">
      <w:pPr>
        <w:rPr>
          <w:noProof/>
        </w:rPr>
      </w:pPr>
    </w:p>
    <w:p w:rsidR="00E535A0" w:rsidRDefault="00E535A0">
      <w:pPr>
        <w:rPr>
          <w:noProof/>
        </w:rPr>
      </w:pPr>
    </w:p>
    <w:p w:rsidR="00E535A0" w:rsidRDefault="00C953F5">
      <w:pPr>
        <w:pStyle w:val="berschrift3"/>
        <w:rPr>
          <w:noProof/>
        </w:rPr>
      </w:pPr>
      <w:r>
        <w:rPr>
          <w:noProof/>
        </w:rPr>
        <w:t>Author statistics. Author networks.</w:t>
      </w:r>
    </w:p>
    <w:p w:rsidR="00E535A0" w:rsidRDefault="00C953F5">
      <w:pPr>
        <w:pStyle w:val="Beschriftung"/>
        <w:keepNext/>
        <w:rPr>
          <w:noProof/>
          <w:lang w:val="en-GB"/>
        </w:rPr>
      </w:pPr>
      <w:r>
        <w:rPr>
          <w:noProof/>
          <w:lang w:val="en-GB"/>
        </w:rPr>
        <w:t xml:space="preserve">Table </w:t>
      </w:r>
      <w:r>
        <w:rPr>
          <w:noProof/>
          <w:lang w:val="en-GB"/>
        </w:rPr>
        <w:fldChar w:fldCharType="begin"/>
      </w:r>
      <w:r>
        <w:rPr>
          <w:noProof/>
          <w:lang w:val="en-GB"/>
        </w:rPr>
        <w:instrText xml:space="preserve"> SEQ Table \* ARABIC </w:instrText>
      </w:r>
      <w:r>
        <w:rPr>
          <w:noProof/>
          <w:lang w:val="en-GB"/>
        </w:rPr>
        <w:fldChar w:fldCharType="separate"/>
      </w:r>
      <w:r>
        <w:rPr>
          <w:noProof/>
          <w:lang w:val="en-GB"/>
        </w:rPr>
        <w:t>7</w:t>
      </w:r>
      <w:r>
        <w:rPr>
          <w:noProof/>
          <w:lang w:val="en-GB"/>
        </w:rPr>
        <w:fldChar w:fldCharType="end"/>
      </w:r>
      <w:r>
        <w:rPr>
          <w:noProof/>
          <w:lang w:val="en-GB"/>
        </w:rPr>
        <w:t>.  Statistics on authors of FP7 publications.</w:t>
      </w:r>
    </w:p>
    <w:tbl>
      <w:tblPr>
        <w:tblStyle w:val="MittlereListe2-Akzent5"/>
        <w:tblW w:w="0" w:type="auto"/>
        <w:tblLayout w:type="fixed"/>
        <w:tblLook w:val="04A0" w:firstRow="1" w:lastRow="0" w:firstColumn="1" w:lastColumn="0" w:noHBand="0" w:noVBand="1"/>
      </w:tblPr>
      <w:tblGrid>
        <w:gridCol w:w="2235"/>
        <w:gridCol w:w="1275"/>
        <w:gridCol w:w="1843"/>
        <w:gridCol w:w="1418"/>
      </w:tblGrid>
      <w:tr w:rsidR="00E535A0" w:rsidTr="00E535A0">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35" w:type="dxa"/>
            <w:tcBorders>
              <w:bottom w:val="nil"/>
            </w:tcBorders>
            <w:noWrap/>
          </w:tcPr>
          <w:p w:rsidR="00E535A0" w:rsidRDefault="00E535A0">
            <w:pPr>
              <w:rPr>
                <w:rFonts w:eastAsia="Times New Roman" w:cs="Arial"/>
                <w:noProof/>
                <w:lang w:val="en-GB"/>
              </w:rPr>
            </w:pPr>
          </w:p>
        </w:tc>
        <w:tc>
          <w:tcPr>
            <w:tcW w:w="4536" w:type="dxa"/>
            <w:gridSpan w:val="3"/>
            <w:tcBorders>
              <w:bottom w:val="single" w:sz="4" w:space="0" w:color="4BACC6" w:themeColor="accent5"/>
            </w:tcBorders>
          </w:tcPr>
          <w:p w:rsidR="00E535A0" w:rsidRDefault="00C953F5">
            <w:pPr>
              <w:jc w:val="center"/>
              <w:cnfStyle w:val="100000000000" w:firstRow="1" w:lastRow="0" w:firstColumn="0" w:lastColumn="0" w:oddVBand="0" w:evenVBand="0" w:oddHBand="0" w:evenHBand="0" w:firstRowFirstColumn="0" w:firstRowLastColumn="0" w:lastRowFirstColumn="0" w:lastRowLastColumn="0"/>
              <w:rPr>
                <w:rFonts w:eastAsia="Times New Roman" w:cs="Arial"/>
                <w:noProof/>
                <w:lang w:val="en-GB"/>
              </w:rPr>
            </w:pPr>
            <w:r>
              <w:rPr>
                <w:rFonts w:eastAsia="Times New Roman" w:cs="Arial"/>
                <w:noProof/>
                <w:lang w:val="en-GB"/>
              </w:rPr>
              <w:t>Number of Authors</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tcBorders>
              <w:bottom w:val="single" w:sz="24" w:space="0" w:color="4BACC6" w:themeColor="accent5"/>
            </w:tcBorders>
            <w:noWrap/>
            <w:hideMark/>
          </w:tcPr>
          <w:p w:rsidR="00E535A0" w:rsidRDefault="00C953F5">
            <w:pPr>
              <w:rPr>
                <w:rFonts w:eastAsia="Times New Roman" w:cs="Arial"/>
                <w:noProof/>
                <w:lang w:val="en-GB"/>
              </w:rPr>
            </w:pPr>
            <w:r>
              <w:rPr>
                <w:rFonts w:eastAsia="Times New Roman" w:cs="Arial"/>
                <w:noProof/>
                <w:lang w:val="en-GB"/>
              </w:rPr>
              <w:t>Scientific area</w:t>
            </w:r>
          </w:p>
        </w:tc>
        <w:tc>
          <w:tcPr>
            <w:tcW w:w="1275" w:type="dxa"/>
            <w:tcBorders>
              <w:top w:val="single" w:sz="4" w:space="0" w:color="4BACC6" w:themeColor="accent5"/>
              <w:bottom w:val="single" w:sz="24" w:space="0" w:color="4BACC6" w:themeColor="accent5"/>
            </w:tcBorders>
            <w:shd w:val="clear" w:color="auto" w:fill="auto"/>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lang w:val="en-GB"/>
              </w:rPr>
            </w:pPr>
            <w:r>
              <w:rPr>
                <w:rFonts w:eastAsia="Times New Roman" w:cs="Arial"/>
                <w:noProof/>
                <w:lang w:val="en-GB"/>
              </w:rPr>
              <w:t>Average</w:t>
            </w:r>
          </w:p>
        </w:tc>
        <w:tc>
          <w:tcPr>
            <w:tcW w:w="1843" w:type="dxa"/>
            <w:tcBorders>
              <w:top w:val="single" w:sz="4" w:space="0" w:color="4BACC6" w:themeColor="accent5"/>
              <w:bottom w:val="single" w:sz="24" w:space="0" w:color="4BACC6" w:themeColor="accent5"/>
            </w:tcBorders>
            <w:shd w:val="clear" w:color="auto" w:fill="auto"/>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lang w:val="en-GB"/>
              </w:rPr>
            </w:pPr>
            <w:r>
              <w:rPr>
                <w:rFonts w:eastAsia="Times New Roman" w:cs="Arial"/>
                <w:noProof/>
                <w:lang w:val="en-GB"/>
              </w:rPr>
              <w:t>Min</w:t>
            </w:r>
          </w:p>
        </w:tc>
        <w:tc>
          <w:tcPr>
            <w:tcW w:w="1418" w:type="dxa"/>
            <w:tcBorders>
              <w:top w:val="single" w:sz="4" w:space="0" w:color="4BACC6" w:themeColor="accent5"/>
              <w:bottom w:val="single" w:sz="24" w:space="0" w:color="4BACC6" w:themeColor="accent5"/>
            </w:tcBorders>
            <w:shd w:val="clear" w:color="auto" w:fill="auto"/>
          </w:tcPr>
          <w:p w:rsidR="00E535A0" w:rsidRDefault="00C953F5">
            <w:pPr>
              <w:tabs>
                <w:tab w:val="center" w:pos="1194"/>
                <w:tab w:val="right" w:pos="2388"/>
              </w:tabs>
              <w:cnfStyle w:val="000000100000" w:firstRow="0" w:lastRow="0" w:firstColumn="0" w:lastColumn="0" w:oddVBand="0" w:evenVBand="0" w:oddHBand="1" w:evenHBand="0" w:firstRowFirstColumn="0" w:firstRowLastColumn="0" w:lastRowFirstColumn="0" w:lastRowLastColumn="0"/>
              <w:rPr>
                <w:rFonts w:eastAsia="Times New Roman" w:cs="Arial"/>
                <w:noProof/>
                <w:lang w:val="en-GB"/>
              </w:rPr>
            </w:pPr>
            <w:r>
              <w:rPr>
                <w:rFonts w:eastAsia="Times New Roman" w:cs="Arial"/>
                <w:noProof/>
                <w:lang w:val="en-GB"/>
              </w:rPr>
              <w:t>Median</w:t>
            </w:r>
            <w:r>
              <w:rPr>
                <w:rStyle w:val="Funotenzeichen"/>
                <w:rFonts w:eastAsia="Times New Roman" w:cs="Arial"/>
                <w:noProof/>
                <w:lang w:val="en-GB"/>
              </w:rPr>
              <w:footnoteReference w:id="93"/>
            </w:r>
            <w:r>
              <w:rPr>
                <w:rFonts w:eastAsia="Times New Roman" w:cs="Arial"/>
                <w:noProof/>
                <w:lang w:val="en-GB"/>
              </w:rPr>
              <w:tab/>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tcBorders>
              <w:top w:val="single" w:sz="24" w:space="0" w:color="4BACC6" w:themeColor="accent5"/>
            </w:tcBorders>
            <w:hideMark/>
          </w:tcPr>
          <w:p w:rsidR="00E535A0" w:rsidRDefault="00C953F5">
            <w:pPr>
              <w:rPr>
                <w:rFonts w:eastAsia="Times New Roman" w:cs="Times New Roman"/>
                <w:noProof/>
                <w:lang w:val="en-GB"/>
              </w:rPr>
            </w:pPr>
            <w:r>
              <w:rPr>
                <w:rFonts w:eastAsia="Times New Roman" w:cs="Times New Roman"/>
                <w:noProof/>
                <w:lang w:val="en-GB"/>
              </w:rPr>
              <w:t>COH</w:t>
            </w:r>
          </w:p>
        </w:tc>
        <w:tc>
          <w:tcPr>
            <w:tcW w:w="1275" w:type="dxa"/>
            <w:tcBorders>
              <w:top w:val="single" w:sz="2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1.67 </w:t>
            </w:r>
          </w:p>
        </w:tc>
        <w:tc>
          <w:tcPr>
            <w:tcW w:w="1843" w:type="dxa"/>
            <w:tcBorders>
              <w:top w:val="single" w:sz="24" w:space="0" w:color="4BACC6" w:themeColor="accent5"/>
            </w:tcBorders>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Borders>
              <w:top w:val="single" w:sz="24" w:space="0" w:color="4BACC6" w:themeColor="accent5"/>
            </w:tcBorders>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2</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ENERGY</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5.16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ENV</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6.85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ERC</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5.78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4</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Fission</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6.66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Fusion</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9.00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6</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GA</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5.48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HEALTH</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11.46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7</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ICT</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4.43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4</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INCO</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6.90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6</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INFRA</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8.47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KBBE</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7.03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6</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NMP</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6.18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6</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PEOPLE</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12.64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4</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REGIONS</w:t>
            </w:r>
          </w:p>
        </w:tc>
        <w:tc>
          <w:tcPr>
            <w:tcW w:w="1275"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4.28 </w:t>
            </w:r>
          </w:p>
        </w:tc>
        <w:tc>
          <w:tcPr>
            <w:tcW w:w="1843" w:type="dxa"/>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4</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E535A0" w:rsidRDefault="00C953F5">
            <w:pPr>
              <w:rPr>
                <w:rFonts w:eastAsia="Times New Roman" w:cs="Arial"/>
                <w:noProof/>
                <w:lang w:val="en-GB"/>
              </w:rPr>
            </w:pPr>
            <w:r>
              <w:rPr>
                <w:rFonts w:eastAsia="Times New Roman" w:cs="Arial"/>
                <w:noProof/>
                <w:lang w:val="en-GB"/>
              </w:rPr>
              <w:t>REGPOT</w:t>
            </w:r>
          </w:p>
        </w:tc>
        <w:tc>
          <w:tcPr>
            <w:tcW w:w="1275"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8.06 </w:t>
            </w:r>
          </w:p>
        </w:tc>
        <w:tc>
          <w:tcPr>
            <w:tcW w:w="1843" w:type="dxa"/>
            <w:noWrap/>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5</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4BACC6" w:themeColor="accent5"/>
            </w:tcBorders>
            <w:noWrap/>
            <w:hideMark/>
          </w:tcPr>
          <w:p w:rsidR="00E535A0" w:rsidRDefault="00C953F5">
            <w:pPr>
              <w:rPr>
                <w:rFonts w:eastAsia="Times New Roman" w:cs="Arial"/>
                <w:noProof/>
                <w:lang w:val="en-GB"/>
              </w:rPr>
            </w:pPr>
            <w:r>
              <w:rPr>
                <w:rFonts w:eastAsia="Times New Roman" w:cs="Arial"/>
                <w:noProof/>
                <w:lang w:val="en-GB"/>
              </w:rPr>
              <w:t>SEC</w:t>
            </w:r>
          </w:p>
        </w:tc>
        <w:tc>
          <w:tcPr>
            <w:tcW w:w="1275" w:type="dxa"/>
            <w:tcBorders>
              <w:bottom w:val="single" w:sz="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 xml:space="preserve"> 5.30 </w:t>
            </w:r>
          </w:p>
        </w:tc>
        <w:tc>
          <w:tcPr>
            <w:tcW w:w="1843" w:type="dxa"/>
            <w:tcBorders>
              <w:bottom w:val="single" w:sz="4" w:space="0" w:color="4BACC6" w:themeColor="accent5"/>
            </w:tcBorders>
            <w:noWrap/>
            <w:hideMark/>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1</w:t>
            </w:r>
          </w:p>
        </w:tc>
        <w:tc>
          <w:tcPr>
            <w:tcW w:w="1418" w:type="dxa"/>
            <w:tcBorders>
              <w:bottom w:val="single" w:sz="4" w:space="0" w:color="4BACC6" w:themeColor="accent5"/>
            </w:tcBorders>
          </w:tcPr>
          <w:p w:rsidR="00E535A0" w:rsidRDefault="00C953F5">
            <w:pPr>
              <w:jc w:val="center"/>
              <w:cnfStyle w:val="000000000000" w:firstRow="0" w:lastRow="0" w:firstColumn="0" w:lastColumn="0" w:oddVBand="0" w:evenVBand="0" w:oddHBand="0" w:evenHBand="0" w:firstRowFirstColumn="0" w:firstRowLastColumn="0" w:lastRowFirstColumn="0" w:lastRowLastColumn="0"/>
              <w:rPr>
                <w:rFonts w:eastAsia="Times New Roman" w:cs="Arial"/>
                <w:noProof/>
                <w:sz w:val="22"/>
                <w:szCs w:val="22"/>
                <w:lang w:val="en-GB"/>
              </w:rPr>
            </w:pPr>
            <w:r>
              <w:rPr>
                <w:rFonts w:eastAsia="MS Gothic" w:cs="Times New Roman"/>
                <w:noProof/>
                <w:color w:val="000000"/>
                <w:sz w:val="22"/>
                <w:szCs w:val="22"/>
                <w:lang w:val="en-GB"/>
              </w:rPr>
              <w:t>4</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4BACC6" w:themeColor="accent5"/>
            </w:tcBorders>
            <w:shd w:val="clear" w:color="auto" w:fill="auto"/>
            <w:noWrap/>
          </w:tcPr>
          <w:p w:rsidR="00E535A0" w:rsidRDefault="00C953F5">
            <w:pPr>
              <w:rPr>
                <w:rFonts w:eastAsia="Times New Roman" w:cs="Arial"/>
                <w:b/>
                <w:noProof/>
                <w:lang w:val="en-GB"/>
              </w:rPr>
            </w:pPr>
            <w:r>
              <w:rPr>
                <w:rFonts w:eastAsia="Times New Roman" w:cs="Arial"/>
                <w:b/>
                <w:noProof/>
                <w:lang w:val="en-GB"/>
              </w:rPr>
              <w:t>FP7</w:t>
            </w:r>
          </w:p>
        </w:tc>
        <w:tc>
          <w:tcPr>
            <w:tcW w:w="1275" w:type="dxa"/>
            <w:tcBorders>
              <w:top w:val="single" w:sz="4" w:space="0" w:color="4BACC6" w:themeColor="accent5"/>
            </w:tcBorders>
            <w:shd w:val="clear" w:color="auto" w:fill="auto"/>
            <w:noWrap/>
          </w:tcPr>
          <w:p w:rsidR="00E535A0" w:rsidRDefault="00C953F5">
            <w:pPr>
              <w:jc w:val="right"/>
              <w:cnfStyle w:val="000000100000" w:firstRow="0" w:lastRow="0" w:firstColumn="0" w:lastColumn="0" w:oddVBand="0" w:evenVBand="0" w:oddHBand="1" w:evenHBand="0" w:firstRowFirstColumn="0" w:firstRowLastColumn="0" w:lastRowFirstColumn="0" w:lastRowLastColumn="0"/>
              <w:rPr>
                <w:rFonts w:eastAsia="Times New Roman" w:cs="Arial"/>
                <w:b/>
                <w:noProof/>
                <w:sz w:val="22"/>
                <w:szCs w:val="22"/>
                <w:lang w:val="en-GB"/>
              </w:rPr>
            </w:pPr>
            <w:r>
              <w:rPr>
                <w:rFonts w:eastAsia="MS Gothic" w:cs="Times New Roman"/>
                <w:b/>
                <w:noProof/>
                <w:color w:val="000000"/>
                <w:sz w:val="22"/>
                <w:szCs w:val="22"/>
                <w:lang w:val="en-GB"/>
              </w:rPr>
              <w:t xml:space="preserve"> 7.05 </w:t>
            </w:r>
          </w:p>
        </w:tc>
        <w:tc>
          <w:tcPr>
            <w:tcW w:w="1843" w:type="dxa"/>
            <w:tcBorders>
              <w:top w:val="single" w:sz="4" w:space="0" w:color="4BACC6" w:themeColor="accent5"/>
            </w:tcBorders>
            <w:shd w:val="clear" w:color="auto" w:fill="auto"/>
            <w:noWrap/>
          </w:tcPr>
          <w:p w:rsidR="00E535A0" w:rsidRDefault="00C953F5">
            <w:pPr>
              <w:jc w:val="center"/>
              <w:cnfStyle w:val="000000100000" w:firstRow="0" w:lastRow="0" w:firstColumn="0" w:lastColumn="0" w:oddVBand="0" w:evenVBand="0" w:oddHBand="1" w:evenHBand="0" w:firstRowFirstColumn="0" w:firstRowLastColumn="0" w:lastRowFirstColumn="0" w:lastRowLastColumn="0"/>
              <w:rPr>
                <w:rFonts w:eastAsia="Times New Roman" w:cs="Arial"/>
                <w:b/>
                <w:noProof/>
                <w:sz w:val="22"/>
                <w:szCs w:val="22"/>
                <w:lang w:val="en-GB"/>
              </w:rPr>
            </w:pPr>
            <w:r>
              <w:rPr>
                <w:rFonts w:eastAsia="MS Gothic" w:cs="Times New Roman"/>
                <w:b/>
                <w:noProof/>
                <w:color w:val="000000"/>
                <w:sz w:val="22"/>
                <w:szCs w:val="22"/>
                <w:lang w:val="en-GB"/>
              </w:rPr>
              <w:t>1</w:t>
            </w:r>
          </w:p>
        </w:tc>
        <w:tc>
          <w:tcPr>
            <w:tcW w:w="1418" w:type="dxa"/>
            <w:tcBorders>
              <w:top w:val="single" w:sz="4" w:space="0" w:color="4BACC6" w:themeColor="accent5"/>
            </w:tcBorders>
            <w:shd w:val="clear" w:color="auto" w:fill="auto"/>
          </w:tcPr>
          <w:p w:rsidR="00E535A0" w:rsidRDefault="00C953F5">
            <w:pPr>
              <w:tabs>
                <w:tab w:val="center" w:pos="601"/>
                <w:tab w:val="right" w:pos="1202"/>
              </w:tabs>
              <w:jc w:val="center"/>
              <w:cnfStyle w:val="000000100000" w:firstRow="0" w:lastRow="0" w:firstColumn="0" w:lastColumn="0" w:oddVBand="0" w:evenVBand="0" w:oddHBand="1" w:evenHBand="0" w:firstRowFirstColumn="0" w:firstRowLastColumn="0" w:lastRowFirstColumn="0" w:lastRowLastColumn="0"/>
              <w:rPr>
                <w:rFonts w:eastAsia="Times New Roman" w:cs="Arial"/>
                <w:b/>
                <w:noProof/>
                <w:sz w:val="22"/>
                <w:szCs w:val="22"/>
                <w:lang w:val="en-GB"/>
              </w:rPr>
            </w:pPr>
            <w:r>
              <w:rPr>
                <w:rFonts w:eastAsia="MS Gothic" w:cs="Times New Roman"/>
                <w:b/>
                <w:noProof/>
                <w:color w:val="000000"/>
                <w:sz w:val="22"/>
                <w:szCs w:val="22"/>
                <w:lang w:val="en-GB"/>
              </w:rPr>
              <w:t>4</w:t>
            </w:r>
          </w:p>
        </w:tc>
      </w:tr>
    </w:tbl>
    <w:p w:rsidR="00E535A0" w:rsidRDefault="00E535A0">
      <w:pPr>
        <w:rPr>
          <w:noProof/>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we did some calculations and comparisons (simple network analysis) to see how authors collaborated during FP7 and whether these collaborations existed before and how they continued after (structuring and network effects).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_Ref301515966 \h </w:instrText>
      </w:r>
      <w:r>
        <w:rPr>
          <w:rFonts w:ascii="Times New Roman" w:hAnsi="Times New Roman" w:cs="Times New Roman"/>
          <w:noProof/>
          <w:sz w:val="24"/>
          <w:szCs w:val="24"/>
        </w:rPr>
        <w:instrText xml:space="preserve">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end"/>
      </w:r>
      <w:r>
        <w:rPr>
          <w:rFonts w:ascii="Times New Roman" w:hAnsi="Times New Roman" w:cs="Times New Roman"/>
          <w:noProof/>
          <w:sz w:val="24"/>
          <w:szCs w:val="24"/>
        </w:rPr>
        <w:t>7 shows the values of author collaborations (in pairs) before the beginning, during the FP7 project, and after the a project for all projects that have finished by 31</w:t>
      </w:r>
      <w:r>
        <w:rPr>
          <w:rFonts w:ascii="Times New Roman" w:hAnsi="Times New Roman" w:cs="Times New Roman"/>
          <w:noProof/>
          <w:sz w:val="24"/>
          <w:szCs w:val="24"/>
        </w:rPr>
        <w:t>/12/2014.  The overall numbers indicate that there is a clear increase in collaborations after the end of the corresponding FP7 projects: 158K author pairs having collaborated before and after they have co-authored at least one FP7 publication; 204K author</w:t>
      </w:r>
      <w:r>
        <w:rPr>
          <w:rFonts w:ascii="Times New Roman" w:hAnsi="Times New Roman" w:cs="Times New Roman"/>
          <w:noProof/>
          <w:sz w:val="24"/>
          <w:szCs w:val="24"/>
        </w:rPr>
        <w:t xml:space="preserve"> pairs had collaborated before they co-authored at least one FP7 publications and have not collaborated (yet) afterwards, whereas 524K author pairs have collaborated for a publication after their initial collaboration for an FP7 publication.</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Column explana</w:t>
      </w:r>
      <w:r>
        <w:rPr>
          <w:rFonts w:ascii="Times New Roman" w:hAnsi="Times New Roman" w:cs="Times New Roman"/>
          <w:noProof/>
          <w:sz w:val="24"/>
          <w:szCs w:val="24"/>
        </w:rPr>
        <w:t xml:space="preserve">tion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_Ref301515966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8</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E535A0" w:rsidRDefault="00C953F5">
      <w:pPr>
        <w:spacing w:after="0"/>
        <w:jc w:val="both"/>
        <w:rPr>
          <w:rFonts w:ascii="Times New Roman" w:hAnsi="Times New Roman" w:cs="Times New Roman"/>
          <w:noProof/>
          <w:sz w:val="24"/>
          <w:szCs w:val="24"/>
        </w:rPr>
      </w:pPr>
      <w:r>
        <w:rPr>
          <w:rFonts w:ascii="Times New Roman" w:hAnsi="Times New Roman" w:cs="Times New Roman"/>
          <w:i/>
          <w:noProof/>
          <w:sz w:val="24"/>
          <w:szCs w:val="24"/>
          <w:u w:val="single"/>
        </w:rPr>
        <w:t>Author pairs during:</w:t>
      </w:r>
      <w:r>
        <w:rPr>
          <w:rFonts w:ascii="Times New Roman" w:hAnsi="Times New Roman" w:cs="Times New Roman"/>
          <w:noProof/>
          <w:sz w:val="24"/>
          <w:szCs w:val="24"/>
        </w:rPr>
        <w:t xml:space="preserve"> number of author pairs that collaborated for an FP7 paper</w:t>
      </w:r>
    </w:p>
    <w:p w:rsidR="00E535A0" w:rsidRDefault="00C953F5">
      <w:pPr>
        <w:spacing w:after="0"/>
        <w:jc w:val="both"/>
        <w:rPr>
          <w:rFonts w:ascii="Times New Roman" w:hAnsi="Times New Roman" w:cs="Times New Roman"/>
          <w:noProof/>
          <w:sz w:val="24"/>
          <w:szCs w:val="24"/>
        </w:rPr>
      </w:pPr>
      <w:r>
        <w:rPr>
          <w:rFonts w:ascii="Times New Roman" w:hAnsi="Times New Roman" w:cs="Times New Roman"/>
          <w:i/>
          <w:noProof/>
          <w:sz w:val="24"/>
          <w:szCs w:val="24"/>
          <w:u w:val="single"/>
        </w:rPr>
        <w:t>Author pairs before:</w:t>
      </w:r>
      <w:r>
        <w:rPr>
          <w:rFonts w:ascii="Times New Roman" w:hAnsi="Times New Roman" w:cs="Times New Roman"/>
          <w:noProof/>
          <w:sz w:val="24"/>
          <w:szCs w:val="24"/>
        </w:rPr>
        <w:t xml:space="preserve"> author pairs that have collaborated before an FP7 paper</w:t>
      </w:r>
    </w:p>
    <w:p w:rsidR="00E535A0" w:rsidRDefault="00C953F5">
      <w:pPr>
        <w:spacing w:after="0"/>
        <w:jc w:val="both"/>
        <w:rPr>
          <w:rFonts w:ascii="Times New Roman" w:hAnsi="Times New Roman" w:cs="Times New Roman"/>
          <w:noProof/>
          <w:sz w:val="24"/>
          <w:szCs w:val="24"/>
        </w:rPr>
      </w:pPr>
      <w:r>
        <w:rPr>
          <w:rFonts w:ascii="Times New Roman" w:hAnsi="Times New Roman" w:cs="Times New Roman"/>
          <w:i/>
          <w:noProof/>
          <w:sz w:val="24"/>
          <w:szCs w:val="24"/>
          <w:u w:val="single"/>
        </w:rPr>
        <w:t>Author pairs after:</w:t>
      </w:r>
      <w:r>
        <w:rPr>
          <w:rFonts w:ascii="Times New Roman" w:hAnsi="Times New Roman" w:cs="Times New Roman"/>
          <w:noProof/>
          <w:sz w:val="24"/>
          <w:szCs w:val="24"/>
        </w:rPr>
        <w:t xml:space="preserve"> author pairs that have collaborated after an FP7 paper</w:t>
      </w:r>
    </w:p>
    <w:p w:rsidR="00E535A0" w:rsidRDefault="00C953F5">
      <w:pPr>
        <w:spacing w:after="0"/>
        <w:jc w:val="both"/>
        <w:rPr>
          <w:rFonts w:ascii="Times New Roman" w:hAnsi="Times New Roman" w:cs="Times New Roman"/>
          <w:noProof/>
          <w:sz w:val="24"/>
          <w:szCs w:val="24"/>
        </w:rPr>
      </w:pPr>
      <w:r>
        <w:rPr>
          <w:rFonts w:ascii="Times New Roman" w:hAnsi="Times New Roman" w:cs="Times New Roman"/>
          <w:i/>
          <w:noProof/>
          <w:sz w:val="24"/>
          <w:szCs w:val="24"/>
          <w:u w:val="single"/>
        </w:rPr>
        <w:t>Author pairs before only:</w:t>
      </w:r>
      <w:r>
        <w:rPr>
          <w:rFonts w:ascii="Times New Roman" w:hAnsi="Times New Roman" w:cs="Times New Roman"/>
          <w:noProof/>
          <w:sz w:val="24"/>
          <w:szCs w:val="24"/>
        </w:rPr>
        <w:t xml:space="preserve"> author pairs that have collaborated before an FP7 paper, but not afterwards</w:t>
      </w:r>
    </w:p>
    <w:p w:rsidR="00E535A0" w:rsidRDefault="00C953F5">
      <w:pPr>
        <w:spacing w:after="0"/>
        <w:jc w:val="both"/>
        <w:rPr>
          <w:rFonts w:ascii="Times New Roman" w:hAnsi="Times New Roman" w:cs="Times New Roman"/>
          <w:noProof/>
          <w:sz w:val="24"/>
          <w:szCs w:val="24"/>
        </w:rPr>
      </w:pPr>
      <w:r>
        <w:rPr>
          <w:rFonts w:ascii="Times New Roman" w:hAnsi="Times New Roman" w:cs="Times New Roman"/>
          <w:i/>
          <w:noProof/>
          <w:sz w:val="24"/>
          <w:szCs w:val="24"/>
          <w:u w:val="single"/>
        </w:rPr>
        <w:t>Author pairs after onl</w:t>
      </w:r>
      <w:r>
        <w:rPr>
          <w:rFonts w:ascii="Times New Roman" w:hAnsi="Times New Roman" w:cs="Times New Roman"/>
          <w:i/>
          <w:noProof/>
          <w:sz w:val="24"/>
          <w:szCs w:val="24"/>
          <w:u w:val="single"/>
        </w:rPr>
        <w:t xml:space="preserve">y: </w:t>
      </w:r>
      <w:r>
        <w:rPr>
          <w:rFonts w:ascii="Times New Roman" w:hAnsi="Times New Roman" w:cs="Times New Roman"/>
          <w:noProof/>
          <w:sz w:val="24"/>
          <w:szCs w:val="24"/>
        </w:rPr>
        <w:t>author pairs that have collaborated after an FP7 paper, but not before</w:t>
      </w:r>
    </w:p>
    <w:p w:rsidR="00E535A0" w:rsidRDefault="00C953F5">
      <w:pPr>
        <w:spacing w:after="0"/>
        <w:jc w:val="both"/>
        <w:rPr>
          <w:rFonts w:ascii="Times New Roman" w:hAnsi="Times New Roman" w:cs="Times New Roman"/>
          <w:noProof/>
          <w:sz w:val="24"/>
          <w:szCs w:val="24"/>
        </w:rPr>
      </w:pPr>
      <w:r>
        <w:rPr>
          <w:rFonts w:ascii="Times New Roman" w:hAnsi="Times New Roman" w:cs="Times New Roman"/>
          <w:i/>
          <w:noProof/>
          <w:sz w:val="24"/>
          <w:szCs w:val="24"/>
          <w:u w:val="single"/>
        </w:rPr>
        <w:t>Author pairs before and after:</w:t>
      </w:r>
      <w:r>
        <w:rPr>
          <w:rFonts w:ascii="Times New Roman" w:hAnsi="Times New Roman" w:cs="Times New Roman"/>
          <w:noProof/>
          <w:sz w:val="24"/>
          <w:szCs w:val="24"/>
        </w:rPr>
        <w:t xml:space="preserve"> author pairs that have collaborated before and after an FP7 paper</w:t>
      </w:r>
    </w:p>
    <w:p w:rsidR="00E535A0" w:rsidRDefault="00E535A0">
      <w:pPr>
        <w:spacing w:after="0"/>
        <w:jc w:val="both"/>
        <w:rPr>
          <w:rFonts w:ascii="Times New Roman" w:hAnsi="Times New Roman" w:cs="Times New Roman"/>
          <w:noProof/>
          <w:sz w:val="24"/>
          <w:szCs w:val="24"/>
        </w:rPr>
      </w:pPr>
    </w:p>
    <w:p w:rsidR="00E535A0" w:rsidRDefault="00C953F5">
      <w:pPr>
        <w:pStyle w:val="Beschriftung"/>
        <w:keepNext/>
        <w:rPr>
          <w:rFonts w:ascii="Times New Roman" w:hAnsi="Times New Roman" w:cs="Times New Roman"/>
          <w:noProof/>
          <w:sz w:val="24"/>
          <w:szCs w:val="24"/>
          <w:lang w:val="en-GB"/>
        </w:rPr>
      </w:pPr>
      <w:bookmarkStart w:id="53" w:name="_Ref301515966"/>
      <w:r>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SEQ Table \* ARABIC </w:instrText>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8</w:t>
      </w:r>
      <w:r>
        <w:rPr>
          <w:rFonts w:ascii="Times New Roman" w:hAnsi="Times New Roman" w:cs="Times New Roman"/>
          <w:noProof/>
          <w:sz w:val="24"/>
          <w:szCs w:val="24"/>
          <w:lang w:val="en-GB"/>
        </w:rPr>
        <w:fldChar w:fldCharType="end"/>
      </w:r>
      <w:bookmarkEnd w:id="53"/>
      <w:r>
        <w:rPr>
          <w:rFonts w:ascii="Times New Roman" w:hAnsi="Times New Roman" w:cs="Times New Roman"/>
          <w:noProof/>
          <w:sz w:val="24"/>
          <w:szCs w:val="24"/>
          <w:lang w:val="en-GB"/>
        </w:rPr>
        <w:t>. Author networks before, during, after FP7.</w:t>
      </w:r>
      <w:r>
        <w:rPr>
          <w:rStyle w:val="Funotenzeichen"/>
          <w:rFonts w:ascii="Times New Roman" w:hAnsi="Times New Roman" w:cs="Times New Roman"/>
          <w:noProof/>
          <w:sz w:val="24"/>
          <w:szCs w:val="24"/>
          <w:lang w:val="en-GB"/>
        </w:rPr>
        <w:footnoteReference w:id="94"/>
      </w:r>
      <w:r>
        <w:rPr>
          <w:rFonts w:ascii="Times New Roman" w:hAnsi="Times New Roman" w:cs="Times New Roman"/>
          <w:noProof/>
          <w:sz w:val="24"/>
          <w:szCs w:val="24"/>
          <w:lang w:val="en-GB"/>
        </w:rPr>
        <w:t xml:space="preserve"> </w:t>
      </w:r>
    </w:p>
    <w:tbl>
      <w:tblPr>
        <w:tblStyle w:val="MittlereListe2-Akzent5"/>
        <w:tblW w:w="9889" w:type="dxa"/>
        <w:tblLayout w:type="fixed"/>
        <w:tblLook w:val="04A0" w:firstRow="1" w:lastRow="0" w:firstColumn="1" w:lastColumn="0" w:noHBand="0" w:noVBand="1"/>
      </w:tblPr>
      <w:tblGrid>
        <w:gridCol w:w="1606"/>
        <w:gridCol w:w="1337"/>
        <w:gridCol w:w="1134"/>
        <w:gridCol w:w="1418"/>
        <w:gridCol w:w="1276"/>
        <w:gridCol w:w="1417"/>
        <w:gridCol w:w="1701"/>
      </w:tblGrid>
      <w:tr w:rsidR="00E535A0" w:rsidTr="00E535A0">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1606" w:type="dxa"/>
            <w:tcBorders>
              <w:bottom w:val="nil"/>
            </w:tcBorders>
          </w:tcPr>
          <w:p w:rsidR="00E535A0" w:rsidRDefault="00E535A0">
            <w:pPr>
              <w:rPr>
                <w:noProof/>
                <w:lang w:val="en-GB"/>
              </w:rPr>
            </w:pPr>
          </w:p>
        </w:tc>
        <w:tc>
          <w:tcPr>
            <w:tcW w:w="8283" w:type="dxa"/>
            <w:gridSpan w:val="6"/>
            <w:tcBorders>
              <w:bottom w:val="single" w:sz="4" w:space="0" w:color="4BACC6" w:themeColor="accent5"/>
            </w:tcBorders>
          </w:tcPr>
          <w:p w:rsidR="00E535A0" w:rsidRDefault="00C953F5">
            <w:pPr>
              <w:jc w:val="center"/>
              <w:cnfStyle w:val="100000000000" w:firstRow="1" w:lastRow="0" w:firstColumn="0" w:lastColumn="0" w:oddVBand="0" w:evenVBand="0" w:oddHBand="0" w:evenHBand="0" w:firstRowFirstColumn="0" w:firstRowLastColumn="0" w:lastRowFirstColumn="0" w:lastRowLastColumn="0"/>
              <w:rPr>
                <w:noProof/>
                <w:lang w:val="en-GB"/>
              </w:rPr>
            </w:pPr>
            <w:r>
              <w:rPr>
                <w:noProof/>
                <w:lang w:val="en-GB"/>
              </w:rPr>
              <w:t>Autho</w:t>
            </w:r>
            <w:r>
              <w:rPr>
                <w:noProof/>
                <w:lang w:val="en-GB"/>
              </w:rPr>
              <w:t>r pairs</w:t>
            </w:r>
          </w:p>
        </w:tc>
      </w:tr>
      <w:tr w:rsidR="00E535A0" w:rsidTr="00E535A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606" w:type="dxa"/>
            <w:tcBorders>
              <w:bottom w:val="single" w:sz="24" w:space="0" w:color="4BACC6" w:themeColor="accent5"/>
            </w:tcBorders>
            <w:hideMark/>
          </w:tcPr>
          <w:p w:rsidR="00E535A0" w:rsidRDefault="00C953F5">
            <w:pPr>
              <w:rPr>
                <w:noProof/>
                <w:lang w:val="en-GB"/>
              </w:rPr>
            </w:pPr>
            <w:r>
              <w:rPr>
                <w:noProof/>
                <w:lang w:val="en-GB"/>
              </w:rPr>
              <w:t>Scientific Area</w:t>
            </w:r>
          </w:p>
        </w:tc>
        <w:tc>
          <w:tcPr>
            <w:tcW w:w="1337" w:type="dxa"/>
            <w:tcBorders>
              <w:top w:val="single" w:sz="4" w:space="0" w:color="4BACC6" w:themeColor="accent5"/>
              <w:bottom w:val="single" w:sz="24" w:space="0" w:color="4BACC6" w:themeColor="accent5"/>
            </w:tcBorders>
            <w:shd w:val="clear" w:color="auto" w:fill="auto"/>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During</w:t>
            </w:r>
          </w:p>
        </w:tc>
        <w:tc>
          <w:tcPr>
            <w:tcW w:w="1134" w:type="dxa"/>
            <w:tcBorders>
              <w:top w:val="single" w:sz="4" w:space="0" w:color="4BACC6" w:themeColor="accent5"/>
              <w:bottom w:val="single" w:sz="24" w:space="0" w:color="4BACC6" w:themeColor="accent5"/>
            </w:tcBorders>
            <w:shd w:val="clear" w:color="auto" w:fill="auto"/>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Before</w:t>
            </w:r>
          </w:p>
        </w:tc>
        <w:tc>
          <w:tcPr>
            <w:tcW w:w="1418" w:type="dxa"/>
            <w:tcBorders>
              <w:top w:val="single" w:sz="4" w:space="0" w:color="4BACC6" w:themeColor="accent5"/>
              <w:bottom w:val="single" w:sz="24" w:space="0" w:color="4BACC6" w:themeColor="accent5"/>
            </w:tcBorders>
            <w:shd w:val="clear" w:color="auto" w:fill="auto"/>
          </w:tcPr>
          <w:p w:rsidR="00E535A0" w:rsidRDefault="00C953F5">
            <w:pPr>
              <w:jc w:val="cente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Before only</w:t>
            </w:r>
          </w:p>
        </w:tc>
        <w:tc>
          <w:tcPr>
            <w:tcW w:w="1276" w:type="dxa"/>
            <w:tcBorders>
              <w:top w:val="single" w:sz="4" w:space="0" w:color="4BACC6" w:themeColor="accent5"/>
              <w:bottom w:val="single" w:sz="24" w:space="0" w:color="4BACC6" w:themeColor="accent5"/>
            </w:tcBorders>
            <w:shd w:val="clear" w:color="auto" w:fill="auto"/>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After</w:t>
            </w:r>
          </w:p>
        </w:tc>
        <w:tc>
          <w:tcPr>
            <w:tcW w:w="1417" w:type="dxa"/>
            <w:tcBorders>
              <w:top w:val="single" w:sz="4" w:space="0" w:color="4BACC6" w:themeColor="accent5"/>
              <w:bottom w:val="single" w:sz="24" w:space="0" w:color="4BACC6" w:themeColor="accent5"/>
            </w:tcBorders>
            <w:shd w:val="clear" w:color="auto" w:fill="auto"/>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After only</w:t>
            </w:r>
          </w:p>
        </w:tc>
        <w:tc>
          <w:tcPr>
            <w:tcW w:w="1701" w:type="dxa"/>
            <w:tcBorders>
              <w:top w:val="single" w:sz="4" w:space="0" w:color="4BACC6" w:themeColor="accent5"/>
              <w:bottom w:val="single" w:sz="24" w:space="0" w:color="4BACC6" w:themeColor="accent5"/>
            </w:tcBorders>
            <w:shd w:val="clear" w:color="auto" w:fill="auto"/>
            <w:hideMark/>
          </w:tcPr>
          <w:p w:rsidR="00E535A0" w:rsidRDefault="00C953F5">
            <w:pPr>
              <w:jc w:val="cente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Before &amp; after</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tcBorders>
              <w:top w:val="single" w:sz="24" w:space="0" w:color="4BACC6" w:themeColor="accent5"/>
            </w:tcBorders>
            <w:noWrap/>
            <w:hideMark/>
          </w:tcPr>
          <w:p w:rsidR="00E535A0" w:rsidRDefault="00C953F5">
            <w:pPr>
              <w:rPr>
                <w:noProof/>
                <w:lang w:val="en-GB"/>
              </w:rPr>
            </w:pPr>
            <w:r>
              <w:rPr>
                <w:noProof/>
                <w:lang w:val="en-GB"/>
              </w:rPr>
              <w:t>ENERGY</w:t>
            </w:r>
          </w:p>
        </w:tc>
        <w:tc>
          <w:tcPr>
            <w:tcW w:w="1337" w:type="dxa"/>
            <w:tcBorders>
              <w:top w:val="single" w:sz="2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2,571</w:t>
            </w:r>
          </w:p>
        </w:tc>
        <w:tc>
          <w:tcPr>
            <w:tcW w:w="1134" w:type="dxa"/>
            <w:tcBorders>
              <w:top w:val="single" w:sz="2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727</w:t>
            </w:r>
          </w:p>
        </w:tc>
        <w:tc>
          <w:tcPr>
            <w:tcW w:w="1418" w:type="dxa"/>
            <w:tcBorders>
              <w:top w:val="single" w:sz="24" w:space="0" w:color="4BACC6" w:themeColor="accent5"/>
            </w:tcBorders>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461</w:t>
            </w:r>
          </w:p>
        </w:tc>
        <w:tc>
          <w:tcPr>
            <w:tcW w:w="1276" w:type="dxa"/>
            <w:tcBorders>
              <w:top w:val="single" w:sz="2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1,926</w:t>
            </w:r>
          </w:p>
        </w:tc>
        <w:tc>
          <w:tcPr>
            <w:tcW w:w="1417" w:type="dxa"/>
            <w:tcBorders>
              <w:top w:val="single" w:sz="2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1,660</w:t>
            </w:r>
          </w:p>
        </w:tc>
        <w:tc>
          <w:tcPr>
            <w:tcW w:w="1701" w:type="dxa"/>
            <w:tcBorders>
              <w:top w:val="single" w:sz="2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266</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ENV</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35,466</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9,284</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6,541</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27,528</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24,785</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2,743</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ERC</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234,905</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67,247</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39,572</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87,971</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60,296</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27,675</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Fission</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14,218</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6,922</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2,911</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11,106</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7,095</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4,011</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Fusion</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21</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20</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20</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0</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GA</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516</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98</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47</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469</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418</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51</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HEALTH</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194,918</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36,308</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22,581</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156,128</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142,401</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13,727</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ICT</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33,541</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8,927</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5,543</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23,544</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20,160</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3,384</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INCO</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354</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229</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187</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166</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124</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42</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INFRA</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176,203</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70,014</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22,936</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134,655</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87,577</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47,078</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KBBE</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28,222</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14,273</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11,467</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12,478</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9,672</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2,806</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NMP</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14,971</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4,441</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3,103</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9,942</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8,604</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1,338</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PEOPLE</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292,002</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131,843</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82,627</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177,865</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128,649</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49,216</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REGIONS</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15</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8</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11</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7</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REGPOT</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36,065</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8,596</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3,778</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31,537</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26,719</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4,818</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SEC</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801</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231</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169</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483</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421</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62</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SME</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1,153</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288</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165</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908</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785</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123</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SPA</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16,005</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3,305</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1,946</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6,038</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4,679</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1,359</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SSH</w:t>
            </w:r>
          </w:p>
        </w:tc>
        <w:tc>
          <w:tcPr>
            <w:tcW w:w="133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780</w:t>
            </w:r>
          </w:p>
        </w:tc>
        <w:tc>
          <w:tcPr>
            <w:tcW w:w="1134"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81</w:t>
            </w:r>
          </w:p>
        </w:tc>
        <w:tc>
          <w:tcPr>
            <w:tcW w:w="1418" w:type="dxa"/>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50</w:t>
            </w:r>
          </w:p>
        </w:tc>
        <w:tc>
          <w:tcPr>
            <w:tcW w:w="1276"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177</w:t>
            </w:r>
          </w:p>
        </w:tc>
        <w:tc>
          <w:tcPr>
            <w:tcW w:w="1417"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146</w:t>
            </w:r>
          </w:p>
        </w:tc>
        <w:tc>
          <w:tcPr>
            <w:tcW w:w="1701" w:type="dxa"/>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31</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noWrap/>
            <w:hideMark/>
          </w:tcPr>
          <w:p w:rsidR="00E535A0" w:rsidRDefault="00C953F5">
            <w:pPr>
              <w:rPr>
                <w:noProof/>
                <w:lang w:val="en-GB"/>
              </w:rPr>
            </w:pPr>
            <w:r>
              <w:rPr>
                <w:noProof/>
                <w:lang w:val="en-GB"/>
              </w:rPr>
              <w:t>SiS</w:t>
            </w:r>
          </w:p>
        </w:tc>
        <w:tc>
          <w:tcPr>
            <w:tcW w:w="133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358</w:t>
            </w:r>
          </w:p>
        </w:tc>
        <w:tc>
          <w:tcPr>
            <w:tcW w:w="1134"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23</w:t>
            </w:r>
          </w:p>
        </w:tc>
        <w:tc>
          <w:tcPr>
            <w:tcW w:w="1418" w:type="dxa"/>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17</w:t>
            </w:r>
          </w:p>
        </w:tc>
        <w:tc>
          <w:tcPr>
            <w:tcW w:w="1276"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180</w:t>
            </w:r>
          </w:p>
        </w:tc>
        <w:tc>
          <w:tcPr>
            <w:tcW w:w="1417"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174</w:t>
            </w:r>
          </w:p>
        </w:tc>
        <w:tc>
          <w:tcPr>
            <w:tcW w:w="1701" w:type="dxa"/>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6</w:t>
            </w:r>
          </w:p>
        </w:tc>
      </w:tr>
      <w:tr w:rsidR="00E535A0" w:rsidTr="00E535A0">
        <w:trPr>
          <w:trHeight w:val="240"/>
        </w:trPr>
        <w:tc>
          <w:tcPr>
            <w:cnfStyle w:val="001000000000" w:firstRow="0" w:lastRow="0" w:firstColumn="1" w:lastColumn="0" w:oddVBand="0" w:evenVBand="0" w:oddHBand="0" w:evenHBand="0" w:firstRowFirstColumn="0" w:firstRowLastColumn="0" w:lastRowFirstColumn="0" w:lastRowLastColumn="0"/>
            <w:tcW w:w="1606" w:type="dxa"/>
            <w:tcBorders>
              <w:bottom w:val="single" w:sz="4" w:space="0" w:color="4BACC6" w:themeColor="accent5"/>
            </w:tcBorders>
            <w:noWrap/>
            <w:hideMark/>
          </w:tcPr>
          <w:p w:rsidR="00E535A0" w:rsidRDefault="00C953F5">
            <w:pPr>
              <w:rPr>
                <w:noProof/>
                <w:lang w:val="en-GB"/>
              </w:rPr>
            </w:pPr>
            <w:r>
              <w:rPr>
                <w:noProof/>
                <w:lang w:val="en-GB"/>
              </w:rPr>
              <w:t>TPT</w:t>
            </w:r>
          </w:p>
        </w:tc>
        <w:tc>
          <w:tcPr>
            <w:tcW w:w="1337" w:type="dxa"/>
            <w:tcBorders>
              <w:bottom w:val="single" w:sz="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681</w:t>
            </w:r>
          </w:p>
        </w:tc>
        <w:tc>
          <w:tcPr>
            <w:tcW w:w="1134" w:type="dxa"/>
            <w:tcBorders>
              <w:bottom w:val="single" w:sz="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295</w:t>
            </w:r>
          </w:p>
        </w:tc>
        <w:tc>
          <w:tcPr>
            <w:tcW w:w="1418" w:type="dxa"/>
            <w:tcBorders>
              <w:bottom w:val="single" w:sz="4" w:space="0" w:color="4BACC6" w:themeColor="accent5"/>
            </w:tcBorders>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207</w:t>
            </w:r>
          </w:p>
        </w:tc>
        <w:tc>
          <w:tcPr>
            <w:tcW w:w="1276" w:type="dxa"/>
            <w:tcBorders>
              <w:bottom w:val="single" w:sz="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390</w:t>
            </w:r>
          </w:p>
        </w:tc>
        <w:tc>
          <w:tcPr>
            <w:tcW w:w="1417" w:type="dxa"/>
            <w:tcBorders>
              <w:bottom w:val="single" w:sz="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302</w:t>
            </w:r>
          </w:p>
        </w:tc>
        <w:tc>
          <w:tcPr>
            <w:tcW w:w="1701" w:type="dxa"/>
            <w:tcBorders>
              <w:bottom w:val="single" w:sz="4" w:space="0" w:color="4BACC6" w:themeColor="accent5"/>
            </w:tcBorders>
            <w:noWrap/>
            <w:hideMark/>
          </w:tcPr>
          <w:p w:rsidR="00E535A0" w:rsidRDefault="00C953F5">
            <w:pPr>
              <w:jc w:val="right"/>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88</w:t>
            </w:r>
          </w:p>
        </w:tc>
      </w:tr>
      <w:tr w:rsidR="00E535A0" w:rsidTr="00E535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06" w:type="dxa"/>
            <w:tcBorders>
              <w:top w:val="single" w:sz="4" w:space="0" w:color="4BACC6" w:themeColor="accent5"/>
            </w:tcBorders>
            <w:noWrap/>
            <w:hideMark/>
          </w:tcPr>
          <w:p w:rsidR="00E535A0" w:rsidRDefault="00C953F5">
            <w:pPr>
              <w:rPr>
                <w:b/>
                <w:noProof/>
                <w:lang w:val="en-GB"/>
              </w:rPr>
            </w:pPr>
            <w:r>
              <w:rPr>
                <w:b/>
                <w:noProof/>
                <w:lang w:val="en-GB"/>
              </w:rPr>
              <w:t>Total FP7</w:t>
            </w:r>
          </w:p>
        </w:tc>
        <w:tc>
          <w:tcPr>
            <w:tcW w:w="1337" w:type="dxa"/>
            <w:tcBorders>
              <w:top w:val="single" w:sz="4" w:space="0" w:color="4BACC6" w:themeColor="accent5"/>
            </w:tcBorders>
            <w:shd w:val="clear" w:color="auto" w:fill="auto"/>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1,083,766</w:t>
            </w:r>
          </w:p>
        </w:tc>
        <w:tc>
          <w:tcPr>
            <w:tcW w:w="1134" w:type="dxa"/>
            <w:tcBorders>
              <w:top w:val="single" w:sz="4" w:space="0" w:color="4BACC6" w:themeColor="accent5"/>
            </w:tcBorders>
            <w:shd w:val="clear" w:color="auto" w:fill="auto"/>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363,141</w:t>
            </w:r>
          </w:p>
        </w:tc>
        <w:tc>
          <w:tcPr>
            <w:tcW w:w="1418" w:type="dxa"/>
            <w:tcBorders>
              <w:top w:val="single" w:sz="4" w:space="0" w:color="4BACC6" w:themeColor="accent5"/>
            </w:tcBorders>
            <w:shd w:val="clear" w:color="auto" w:fill="auto"/>
          </w:tcPr>
          <w:p w:rsidR="00E535A0" w:rsidRDefault="00C953F5">
            <w:pPr>
              <w:jc w:val="right"/>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204,313</w:t>
            </w:r>
          </w:p>
        </w:tc>
        <w:tc>
          <w:tcPr>
            <w:tcW w:w="1276" w:type="dxa"/>
            <w:tcBorders>
              <w:top w:val="single" w:sz="4" w:space="0" w:color="4BACC6" w:themeColor="accent5"/>
            </w:tcBorders>
            <w:shd w:val="clear" w:color="auto" w:fill="auto"/>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683,522</w:t>
            </w:r>
          </w:p>
        </w:tc>
        <w:tc>
          <w:tcPr>
            <w:tcW w:w="1417" w:type="dxa"/>
            <w:tcBorders>
              <w:top w:val="single" w:sz="4" w:space="0" w:color="4BACC6" w:themeColor="accent5"/>
            </w:tcBorders>
            <w:shd w:val="clear" w:color="auto" w:fill="auto"/>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524,694</w:t>
            </w:r>
          </w:p>
        </w:tc>
        <w:tc>
          <w:tcPr>
            <w:tcW w:w="1701" w:type="dxa"/>
            <w:tcBorders>
              <w:top w:val="single" w:sz="4" w:space="0" w:color="4BACC6" w:themeColor="accent5"/>
            </w:tcBorders>
            <w:shd w:val="clear" w:color="auto" w:fill="auto"/>
            <w:noWrap/>
            <w:hideMark/>
          </w:tcPr>
          <w:p w:rsidR="00E535A0" w:rsidRDefault="00C953F5">
            <w:pPr>
              <w:jc w:val="right"/>
              <w:cnfStyle w:val="000000100000" w:firstRow="0" w:lastRow="0" w:firstColumn="0" w:lastColumn="0" w:oddVBand="0" w:evenVBand="0" w:oddHBand="1" w:evenHBand="0" w:firstRowFirstColumn="0" w:firstRowLastColumn="0" w:lastRowFirstColumn="0" w:lastRowLastColumn="0"/>
              <w:rPr>
                <w:b/>
                <w:noProof/>
                <w:lang w:val="en-GB"/>
              </w:rPr>
            </w:pPr>
            <w:r>
              <w:rPr>
                <w:b/>
                <w:noProof/>
                <w:lang w:val="en-GB"/>
              </w:rPr>
              <w:t>158,828</w:t>
            </w:r>
          </w:p>
        </w:tc>
      </w:tr>
    </w:tbl>
    <w:p w:rsidR="00E535A0" w:rsidRDefault="00E535A0">
      <w:pPr>
        <w:rPr>
          <w:noProof/>
        </w:rPr>
      </w:pPr>
    </w:p>
    <w:p w:rsidR="00E535A0" w:rsidRDefault="00C953F5">
      <w:pPr>
        <w:rPr>
          <w:noProof/>
        </w:rPr>
      </w:pPr>
      <w:r>
        <w:rPr>
          <w:noProof/>
        </w:rPr>
        <w:fldChar w:fldCharType="begin"/>
      </w:r>
      <w:r>
        <w:rPr>
          <w:noProof/>
        </w:rPr>
        <w:instrText xml:space="preserve"> REF _Ref301515988 \h  \* MERGEFORMAT </w:instrText>
      </w:r>
      <w:r>
        <w:rPr>
          <w:noProof/>
        </w:rPr>
      </w:r>
      <w:r>
        <w:rPr>
          <w:noProof/>
        </w:rPr>
        <w:fldChar w:fldCharType="separate"/>
      </w:r>
      <w:r>
        <w:rPr>
          <w:noProof/>
        </w:rPr>
        <w:t>Figure 7</w:t>
      </w:r>
      <w:r>
        <w:rPr>
          <w:noProof/>
        </w:rPr>
        <w:fldChar w:fldCharType="end"/>
      </w:r>
      <w:r>
        <w:rPr>
          <w:noProof/>
        </w:rPr>
        <w:t xml:space="preserve"> illustrates the results to show the trends in a schematic form.</w:t>
      </w:r>
      <w:r>
        <w:rPr>
          <w:rStyle w:val="Funotenzeichen"/>
          <w:noProof/>
        </w:rPr>
        <w:t xml:space="preserve"> </w:t>
      </w:r>
      <w:r>
        <w:rPr>
          <w:rStyle w:val="Funotenzeichen"/>
          <w:noProof/>
        </w:rPr>
        <w:footnoteReference w:id="95"/>
      </w:r>
    </w:p>
    <w:p w:rsidR="00E535A0" w:rsidRDefault="00C953F5">
      <w:pPr>
        <w:rPr>
          <w:noProof/>
        </w:rPr>
      </w:pPr>
      <w:r>
        <w:rPr>
          <w:noProof/>
          <w:lang w:val="de-DE" w:eastAsia="de-DE"/>
        </w:rPr>
        <w:drawing>
          <wp:inline distT="0" distB="0" distL="0" distR="0">
            <wp:extent cx="6184900" cy="4533900"/>
            <wp:effectExtent l="0" t="0" r="12700" b="12700"/>
            <wp:docPr id="3" name="Picture 3" descr="Macintosh HD:Users:Natalia:Desktop:Screenshots:Screen Shot 2015-08-18 at 11.14.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Desktop:Screenshots:Screen Shot 2015-08-18 at 11.14.38 AM.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84900" cy="4533900"/>
                    </a:xfrm>
                    <a:prstGeom prst="rect">
                      <a:avLst/>
                    </a:prstGeom>
                    <a:noFill/>
                    <a:ln>
                      <a:noFill/>
                    </a:ln>
                  </pic:spPr>
                </pic:pic>
              </a:graphicData>
            </a:graphic>
          </wp:inline>
        </w:drawing>
      </w:r>
    </w:p>
    <w:p w:rsidR="00E535A0" w:rsidRDefault="00C953F5">
      <w:pPr>
        <w:pStyle w:val="Beschriftung"/>
        <w:jc w:val="center"/>
        <w:rPr>
          <w:noProof/>
          <w:lang w:val="en-GB"/>
        </w:rPr>
      </w:pPr>
      <w:r>
        <w:rPr>
          <w:noProof/>
          <w:lang w:val="en-GB"/>
        </w:rPr>
        <w:t>Figure 7. Author collaborations affected by FP7.</w:t>
      </w:r>
    </w:p>
    <w:p w:rsidR="00E535A0" w:rsidRDefault="00E535A0">
      <w:pPr>
        <w:keepNext/>
        <w:jc w:val="center"/>
        <w:rPr>
          <w:rFonts w:ascii="Times New Roman" w:hAnsi="Times New Roman" w:cs="Times New Roman"/>
          <w:noProof/>
          <w:sz w:val="24"/>
          <w:szCs w:val="24"/>
        </w:rPr>
      </w:pPr>
    </w:p>
    <w:p w:rsidR="00E535A0" w:rsidRDefault="00C953F5">
      <w:pPr>
        <w:pStyle w:val="berschrift3"/>
        <w:numPr>
          <w:ilvl w:val="0"/>
          <w:numId w:val="0"/>
        </w:numPr>
        <w:ind w:left="850" w:hanging="850"/>
        <w:rPr>
          <w:noProof/>
          <w:szCs w:val="24"/>
        </w:rPr>
      </w:pPr>
      <w:r>
        <w:rPr>
          <w:noProof/>
          <w:szCs w:val="24"/>
        </w:rPr>
        <w:t>Classifications</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 xml:space="preserve">Bubble diagrams of classifications of all FP7 and broken </w:t>
      </w:r>
      <w:r>
        <w:rPr>
          <w:rFonts w:ascii="Times New Roman" w:hAnsi="Times New Roman" w:cs="Times New Roman"/>
          <w:noProof/>
          <w:sz w:val="24"/>
          <w:szCs w:val="24"/>
        </w:rPr>
        <w:t>down by FP7 scientific area. Select most fitting classification schemes.</w:t>
      </w:r>
    </w:p>
    <w:p w:rsidR="00E535A0" w:rsidRDefault="00C953F5">
      <w:pPr>
        <w:widowControl w:val="0"/>
        <w:autoSpaceDE w:val="0"/>
        <w:autoSpaceDN w:val="0"/>
        <w:adjustRightInd w:val="0"/>
        <w:spacing w:after="160" w:line="259" w:lineRule="auto"/>
        <w:rPr>
          <w:rFonts w:ascii="Times New Roman" w:hAnsi="Times New Roman" w:cs="Times New Roman"/>
          <w:b/>
          <w:bCs/>
          <w:noProof/>
          <w:sz w:val="24"/>
          <w:szCs w:val="24"/>
        </w:rPr>
      </w:pPr>
      <w:r>
        <w:rPr>
          <w:rFonts w:ascii="Times New Roman" w:hAnsi="Times New Roman" w:cs="Times New Roman"/>
          <w:b/>
          <w:bCs/>
          <w:noProof/>
          <w:sz w:val="24"/>
          <w:szCs w:val="24"/>
        </w:rPr>
        <w:t>Analysis details:</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We applied a multi view probabilistic topic modeling based on:</w:t>
      </w:r>
    </w:p>
    <w:p w:rsidR="00E535A0" w:rsidRDefault="00C953F5">
      <w:pPr>
        <w:pStyle w:val="Listenabsatz"/>
        <w:numPr>
          <w:ilvl w:val="0"/>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Full text publications, project descriptions and SESAM Health related project reports related to FP7 </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76.422 (total publications &amp; reports) </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Alphabet count: 224.274 (distinct words)</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Max tokens per entity: 12.542</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Total tokens: 136.978.231</w:t>
      </w:r>
    </w:p>
    <w:p w:rsidR="00E535A0" w:rsidRDefault="00C953F5">
      <w:pPr>
        <w:pStyle w:val="Listenabsatz"/>
        <w:numPr>
          <w:ilvl w:val="0"/>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Grants per publication</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64.771 links  to 2.874 distinct grant ids </w:t>
      </w:r>
    </w:p>
    <w:p w:rsidR="00E535A0" w:rsidRDefault="00C953F5">
      <w:pPr>
        <w:pStyle w:val="Listenabsatz"/>
        <w:numPr>
          <w:ilvl w:val="0"/>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Research Areas per publication (based on above mention</w:t>
      </w:r>
      <w:r>
        <w:rPr>
          <w:rFonts w:ascii="Times New Roman" w:hAnsi="Times New Roman" w:cs="Times New Roman"/>
          <w:noProof/>
          <w:sz w:val="24"/>
          <w:szCs w:val="24"/>
        </w:rPr>
        <w:t>ed Grants)</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85.665 links  to 20 distinct FP7 scientific areas</w:t>
      </w:r>
    </w:p>
    <w:p w:rsidR="00E535A0" w:rsidRDefault="00C953F5">
      <w:pPr>
        <w:pStyle w:val="Listenabsatz"/>
        <w:numPr>
          <w:ilvl w:val="0"/>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Venues / Journals (whenever available)</w:t>
      </w:r>
    </w:p>
    <w:p w:rsidR="00E535A0" w:rsidRDefault="00C953F5">
      <w:pPr>
        <w:pStyle w:val="Listenabsatz"/>
        <w:numPr>
          <w:ilvl w:val="1"/>
          <w:numId w:val="4"/>
        </w:num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59.931 references (links) to 797 distinct journals</w:t>
      </w:r>
    </w:p>
    <w:p w:rsidR="00E535A0" w:rsidRDefault="00E535A0">
      <w:pPr>
        <w:widowControl w:val="0"/>
        <w:autoSpaceDE w:val="0"/>
        <w:autoSpaceDN w:val="0"/>
        <w:adjustRightInd w:val="0"/>
        <w:spacing w:after="0"/>
        <w:rPr>
          <w:rFonts w:ascii="Times New Roman" w:hAnsi="Times New Roman" w:cs="Times New Roman"/>
          <w:noProof/>
          <w:sz w:val="24"/>
          <w:szCs w:val="24"/>
        </w:rPr>
      </w:pPr>
    </w:p>
    <w:p w:rsidR="00E535A0" w:rsidRDefault="00C953F5">
      <w:pPr>
        <w:widowControl w:val="0"/>
        <w:autoSpaceDE w:val="0"/>
        <w:autoSpaceDN w:val="0"/>
        <w:adjustRightInd w:val="0"/>
        <w:spacing w:after="0"/>
        <w:rPr>
          <w:rFonts w:ascii="Times New Roman" w:hAnsi="Times New Roman" w:cs="Times New Roman"/>
          <w:b/>
          <w:bCs/>
          <w:noProof/>
          <w:sz w:val="24"/>
          <w:szCs w:val="24"/>
        </w:rPr>
      </w:pPr>
      <w:r>
        <w:rPr>
          <w:rFonts w:ascii="Times New Roman" w:hAnsi="Times New Roman" w:cs="Times New Roman"/>
          <w:b/>
          <w:bCs/>
          <w:noProof/>
          <w:sz w:val="24"/>
          <w:szCs w:val="24"/>
        </w:rPr>
        <w:t>Parameters:</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We identified 320 topics based on 4 modalities over 1200 iterations.</w:t>
      </w:r>
    </w:p>
    <w:p w:rsidR="00E535A0" w:rsidRDefault="00C953F5">
      <w:pPr>
        <w:widowControl w:val="0"/>
        <w:autoSpaceDE w:val="0"/>
        <w:autoSpaceDN w:val="0"/>
        <w:adjustRightInd w:val="0"/>
        <w:spacing w:after="160" w:line="259" w:lineRule="auto"/>
        <w:rPr>
          <w:rFonts w:ascii="Times New Roman" w:hAnsi="Times New Roman" w:cs="Times New Roman"/>
          <w:noProof/>
          <w:sz w:val="24"/>
          <w:szCs w:val="24"/>
        </w:rPr>
      </w:pPr>
      <w:r>
        <w:rPr>
          <w:rFonts w:ascii="Times New Roman" w:hAnsi="Times New Roman" w:cs="Times New Roman"/>
          <w:b/>
          <w:bCs/>
          <w:noProof/>
          <w:sz w:val="24"/>
          <w:szCs w:val="24"/>
        </w:rPr>
        <w:t>ExportTopics_FULLText.c</w:t>
      </w:r>
      <w:r>
        <w:rPr>
          <w:rFonts w:ascii="Times New Roman" w:hAnsi="Times New Roman" w:cs="Times New Roman"/>
          <w:b/>
          <w:bCs/>
          <w:noProof/>
          <w:sz w:val="24"/>
          <w:szCs w:val="24"/>
        </w:rPr>
        <w:t>sv:</w:t>
      </w:r>
      <w:r>
        <w:rPr>
          <w:rFonts w:ascii="Times New Roman" w:hAnsi="Times New Roman" w:cs="Times New Roman"/>
          <w:noProof/>
          <w:sz w:val="24"/>
          <w:szCs w:val="24"/>
        </w:rPr>
        <w:t xml:space="preserve"> </w:t>
      </w:r>
    </w:p>
    <w:p w:rsidR="00E535A0" w:rsidRDefault="00C953F5">
      <w:pPr>
        <w:widowControl w:val="0"/>
        <w:autoSpaceDE w:val="0"/>
        <w:autoSpaceDN w:val="0"/>
        <w:adjustRightInd w:val="0"/>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t>Describes top (max 20) Phrases, words, related grants, related research areas &amp; Venues per topic. Also contains related counts.</w:t>
      </w:r>
    </w:p>
    <w:p w:rsidR="00E535A0" w:rsidRDefault="00C953F5">
      <w:pPr>
        <w:widowControl w:val="0"/>
        <w:autoSpaceDE w:val="0"/>
        <w:autoSpaceDN w:val="0"/>
        <w:adjustRightInd w:val="0"/>
        <w:spacing w:after="160" w:line="259" w:lineRule="auto"/>
        <w:rPr>
          <w:rFonts w:ascii="Times New Roman" w:hAnsi="Times New Roman" w:cs="Times New Roman"/>
          <w:noProof/>
          <w:sz w:val="24"/>
          <w:szCs w:val="24"/>
        </w:rPr>
      </w:pPr>
      <w:r>
        <w:rPr>
          <w:rFonts w:ascii="Times New Roman" w:hAnsi="Times New Roman" w:cs="Times New Roman"/>
          <w:b/>
          <w:bCs/>
          <w:noProof/>
          <w:sz w:val="24"/>
          <w:szCs w:val="24"/>
        </w:rPr>
        <w:t xml:space="preserve">ResearchAreasPerTopic.csv: </w:t>
      </w:r>
      <w:r>
        <w:rPr>
          <w:rFonts w:ascii="Times New Roman" w:hAnsi="Times New Roman" w:cs="Times New Roman"/>
          <w:noProof/>
          <w:sz w:val="24"/>
          <w:szCs w:val="24"/>
        </w:rPr>
        <w:t>Describes related research areas per topic giving related weight (topic activation). Category1 i</w:t>
      </w:r>
      <w:r>
        <w:rPr>
          <w:rFonts w:ascii="Times New Roman" w:hAnsi="Times New Roman" w:cs="Times New Roman"/>
          <w:noProof/>
          <w:sz w:val="24"/>
          <w:szCs w:val="24"/>
        </w:rPr>
        <w:t>s related to FET/NON_FET projects, and Category2 is related to FP7 research area. Thus, one can see, order or filter topics per research area, research areas per topic, topics per FET areas etc.</w:t>
      </w:r>
    </w:p>
    <w:p w:rsidR="00E535A0" w:rsidRDefault="00C953F5">
      <w:pPr>
        <w:rPr>
          <w:rFonts w:ascii="Times New Roman" w:hAnsi="Times New Roman" w:cs="Times New Roman"/>
          <w:noProof/>
          <w:sz w:val="24"/>
          <w:szCs w:val="24"/>
        </w:rPr>
      </w:pPr>
      <w:r>
        <w:rPr>
          <w:rFonts w:ascii="Times New Roman" w:hAnsi="Times New Roman" w:cs="Times New Roman"/>
          <w:noProof/>
          <w:sz w:val="24"/>
          <w:szCs w:val="24"/>
        </w:rPr>
        <w:t>Topic evolution (per scientific area) over time (snapshot fro</w:t>
      </w:r>
      <w:r>
        <w:rPr>
          <w:rFonts w:ascii="Times New Roman" w:hAnsi="Times New Roman" w:cs="Times New Roman"/>
          <w:noProof/>
          <w:sz w:val="24"/>
          <w:szCs w:val="24"/>
        </w:rPr>
        <w:t>m 2000-today) with focus on 2007-today – Sept 2015</w:t>
      </w:r>
    </w:p>
    <w:p w:rsidR="00E535A0" w:rsidRDefault="00E535A0">
      <w:pPr>
        <w:rPr>
          <w:noProof/>
        </w:rPr>
      </w:pPr>
    </w:p>
    <w:p w:rsidR="00E535A0" w:rsidRDefault="00C953F5">
      <w:pPr>
        <w:rPr>
          <w:noProof/>
        </w:rPr>
      </w:pPr>
      <w:r>
        <w:rPr>
          <w:noProof/>
          <w:lang w:val="de-DE" w:eastAsia="de-DE"/>
        </w:rPr>
        <w:drawing>
          <wp:inline distT="0" distB="0" distL="0" distR="0">
            <wp:extent cx="5654040" cy="3349146"/>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5-12-16 16.08.10.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55201" cy="3349833"/>
                    </a:xfrm>
                    <a:prstGeom prst="rect">
                      <a:avLst/>
                    </a:prstGeom>
                  </pic:spPr>
                </pic:pic>
              </a:graphicData>
            </a:graphic>
          </wp:inline>
        </w:drawing>
      </w:r>
    </w:p>
    <w:p w:rsidR="00E535A0" w:rsidRDefault="00E535A0">
      <w:pPr>
        <w:pStyle w:val="Beschriftung"/>
        <w:rPr>
          <w:noProof/>
          <w:lang w:val="en-GB"/>
        </w:rPr>
      </w:pPr>
    </w:p>
    <w:p w:rsidR="00E535A0" w:rsidRDefault="00C953F5">
      <w:pPr>
        <w:keepNext/>
        <w:jc w:val="center"/>
        <w:rPr>
          <w:noProof/>
        </w:rPr>
      </w:pPr>
      <w:r>
        <w:rPr>
          <w:noProof/>
          <w:lang w:val="de-DE" w:eastAsia="de-DE"/>
        </w:rPr>
        <w:drawing>
          <wp:inline distT="0" distB="0" distL="0" distR="0">
            <wp:extent cx="3779520" cy="3244023"/>
            <wp:effectExtent l="0" t="0" r="0" b="0"/>
            <wp:docPr id="2" name="Picture 2" descr="Macintosh HD:Users:Natalia:Desktop:Screenshots:Screen Shot 2015-08-31 at 12.4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Desktop:Screenshots:Screen Shot 2015-08-31 at 12.45.49 PM.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4867" cy="3231446"/>
                    </a:xfrm>
                    <a:prstGeom prst="rect">
                      <a:avLst/>
                    </a:prstGeom>
                    <a:noFill/>
                    <a:ln>
                      <a:noFill/>
                    </a:ln>
                  </pic:spPr>
                </pic:pic>
              </a:graphicData>
            </a:graphic>
          </wp:inline>
        </w:drawing>
      </w:r>
    </w:p>
    <w:p w:rsidR="00E535A0" w:rsidRDefault="00C953F5">
      <w:pPr>
        <w:keepNext/>
        <w:jc w:val="center"/>
        <w:rPr>
          <w:noProof/>
        </w:rPr>
      </w:pPr>
      <w:r>
        <w:rPr>
          <w:noProof/>
        </w:rPr>
        <w:t>Figure 8. Interconnection of FP7 scientific areas based on common topics.</w:t>
      </w:r>
    </w:p>
    <w:p w:rsidR="00E535A0" w:rsidRDefault="00E535A0">
      <w:pPr>
        <w:rPr>
          <w:noProof/>
        </w:rPr>
      </w:pPr>
    </w:p>
    <w:p w:rsidR="00E535A0" w:rsidRDefault="00E535A0">
      <w:pPr>
        <w:spacing w:line="240" w:lineRule="auto"/>
        <w:jc w:val="both"/>
        <w:rPr>
          <w:rFonts w:ascii="Times New Roman" w:hAnsi="Times New Roman" w:cs="Times New Roman"/>
          <w:b/>
          <w:bCs/>
          <w:noProof/>
          <w:sz w:val="24"/>
          <w:szCs w:val="24"/>
          <w:lang w:val="en-US"/>
        </w:rPr>
      </w:pPr>
    </w:p>
    <w:p w:rsidR="00E535A0" w:rsidRDefault="00C953F5">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br w:type="page"/>
      </w:r>
    </w:p>
    <w:p w:rsidR="00E535A0" w:rsidRDefault="00E535A0">
      <w:pPr>
        <w:spacing w:line="240" w:lineRule="auto"/>
        <w:jc w:val="both"/>
        <w:rPr>
          <w:rFonts w:ascii="Times New Roman" w:hAnsi="Times New Roman" w:cs="Times New Roman"/>
          <w:b/>
          <w:bCs/>
          <w:noProof/>
          <w:sz w:val="24"/>
          <w:szCs w:val="24"/>
          <w:lang w:val="en-US"/>
        </w:rPr>
      </w:pPr>
    </w:p>
    <w:p w:rsidR="00E535A0" w:rsidRDefault="00C953F5">
      <w:pPr>
        <w:pStyle w:val="berschrift1"/>
        <w:rPr>
          <w:noProof/>
          <w:szCs w:val="24"/>
        </w:rPr>
      </w:pPr>
      <w:bookmarkStart w:id="54" w:name="_Toc433998147"/>
      <w:bookmarkStart w:id="55" w:name="_Toc439752816"/>
      <w:r>
        <w:rPr>
          <w:noProof/>
          <w:szCs w:val="24"/>
        </w:rPr>
        <w:t>The Community Innovation Survey and FP7 innovation performance</w:t>
      </w:r>
      <w:bookmarkEnd w:id="54"/>
      <w:bookmarkEnd w:id="55"/>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The Community Innovation Survey (CIS)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CIS is a survey</w:t>
      </w:r>
      <w:r>
        <w:rPr>
          <w:rFonts w:ascii="Times New Roman" w:hAnsi="Times New Roman" w:cs="Times New Roman"/>
          <w:noProof/>
          <w:sz w:val="24"/>
          <w:szCs w:val="24"/>
        </w:rPr>
        <w:t xml:space="preserve"> of innovation activity in enterprises, carried-out by Eurostat and the national statistical institutes in a harmonised way. It provides information on the innovativeness of sectors by type of enterprises, on the different types of innovation and on variou</w:t>
      </w:r>
      <w:r>
        <w:rPr>
          <w:rFonts w:ascii="Times New Roman" w:hAnsi="Times New Roman" w:cs="Times New Roman"/>
          <w:noProof/>
          <w:sz w:val="24"/>
          <w:szCs w:val="24"/>
        </w:rPr>
        <w:t>s aspects of the development of an innovation, such as the objectives, the sources of information, the public funding, the innovation expenditures etc. The CIS provides statistics broken down by countries, type of innovators, economic activities and size c</w:t>
      </w:r>
      <w:r>
        <w:rPr>
          <w:rFonts w:ascii="Times New Roman" w:hAnsi="Times New Roman" w:cs="Times New Roman"/>
          <w:noProof/>
          <w:sz w:val="24"/>
          <w:szCs w:val="24"/>
        </w:rPr>
        <w:t>lasses</w:t>
      </w:r>
      <w:r>
        <w:rPr>
          <w:rFonts w:ascii="Times New Roman" w:hAnsi="Times New Roman" w:cs="Times New Roman"/>
          <w:noProof/>
          <w:sz w:val="24"/>
          <w:szCs w:val="24"/>
          <w:vertAlign w:val="superscript"/>
        </w:rPr>
        <w:footnoteReference w:id="96"/>
      </w:r>
      <w:r>
        <w:rPr>
          <w:rFonts w:ascii="Times New Roman" w:hAnsi="Times New Roman" w:cs="Times New Roman"/>
          <w:noProof/>
          <w:sz w:val="24"/>
          <w:szCs w:val="24"/>
        </w:rPr>
        <w: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CIS is carried-out every two years. It covers most Member States and Norway, with very large samples (more than 160,000 enterprises interviewed in the 2008 and 2010 editions, more than 140,000 in CIS 2012).</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CIS questionnaire includes a que</w:t>
      </w:r>
      <w:r>
        <w:rPr>
          <w:rFonts w:ascii="Times New Roman" w:hAnsi="Times New Roman" w:cs="Times New Roman"/>
          <w:noProof/>
          <w:sz w:val="24"/>
          <w:szCs w:val="24"/>
        </w:rPr>
        <w:t>stion that allows the identification of innovative enterprises that received financial support from the EU, and more specifically from the Framework Programmes. Therefore the CIS data permits to compare the innovation performance of companies that were inv</w:t>
      </w:r>
      <w:r>
        <w:rPr>
          <w:rFonts w:ascii="Times New Roman" w:hAnsi="Times New Roman" w:cs="Times New Roman"/>
          <w:noProof/>
          <w:sz w:val="24"/>
          <w:szCs w:val="24"/>
        </w:rPr>
        <w:t>olved in FP7 with those that did not receive such funding (i.e. counterfactual analysis). This requires analysing the results of the CIS raw data for its editions 2008, 2010 and 2012, in the Eurostat's Safe Centre in Luxembourg.</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CIS caveats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CIS' design</w:t>
      </w:r>
      <w:r>
        <w:rPr>
          <w:rFonts w:ascii="Times New Roman" w:hAnsi="Times New Roman" w:cs="Times New Roman"/>
          <w:noProof/>
          <w:sz w:val="24"/>
          <w:szCs w:val="24"/>
        </w:rPr>
        <w:t xml:space="preserve"> presents some caveats: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Geographical coverage</w:t>
      </w:r>
      <w:r>
        <w:rPr>
          <w:rFonts w:ascii="Times New Roman" w:hAnsi="Times New Roman" w:cs="Times New Roman"/>
          <w:noProof/>
          <w:sz w:val="24"/>
          <w:szCs w:val="24"/>
        </w:rPr>
        <w:t>: Neither all FP7 associated countries, nor all EU member states are covered by the CIS 2008, 2010 and 2012. Amongst member states, Belgium, Denmark, Greece, Croatia, Austria, Poland and the UK did not partici</w:t>
      </w:r>
      <w:r>
        <w:rPr>
          <w:rFonts w:ascii="Times New Roman" w:hAnsi="Times New Roman" w:cs="Times New Roman"/>
          <w:noProof/>
          <w:sz w:val="24"/>
          <w:szCs w:val="24"/>
        </w:rPr>
        <w:t xml:space="preserve">pate in CIS 2008 or their data are not available. There are no data for the CIS 2010 for Belgium, Denmark, Greece, Malta, Austria and the UK, and Denmark, Ireland, Greece, Netherlands, Austria, Poland and the UK are absent for CIS 2012. Amongst associated </w:t>
      </w:r>
      <w:r>
        <w:rPr>
          <w:rFonts w:ascii="Times New Roman" w:hAnsi="Times New Roman" w:cs="Times New Roman"/>
          <w:noProof/>
          <w:sz w:val="24"/>
          <w:szCs w:val="24"/>
        </w:rPr>
        <w:t>countries, only Norway is present in all three editions.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Time coverage</w:t>
      </w:r>
      <w:r>
        <w:rPr>
          <w:rFonts w:ascii="Times New Roman" w:hAnsi="Times New Roman" w:cs="Times New Roman"/>
          <w:noProof/>
          <w:sz w:val="24"/>
          <w:szCs w:val="24"/>
        </w:rPr>
        <w:t>: The CIS 2008 covered the years 2006-2008; the CIS 2010, 2008-2010; and the CIS 2012, 2010-2012. This implies three kinds of issues: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The CIS 2008 data include one year before the </w:t>
      </w:r>
      <w:r>
        <w:rPr>
          <w:rFonts w:ascii="Times New Roman" w:hAnsi="Times New Roman" w:cs="Times New Roman"/>
          <w:noProof/>
          <w:sz w:val="24"/>
          <w:szCs w:val="24"/>
        </w:rPr>
        <w:t>start of FP7 (2007-2013);</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(ii) the CIS 2012 data include one year after the end of FP7; and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(iii) there is an overlap of one year between one CIS edition and the next.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Identification of enterprises that participated in FP7</w:t>
      </w:r>
      <w:r>
        <w:rPr>
          <w:rFonts w:ascii="Times New Roman" w:hAnsi="Times New Roman" w:cs="Times New Roman"/>
          <w:noProof/>
          <w:sz w:val="24"/>
          <w:szCs w:val="24"/>
        </w:rPr>
        <w:t>:  The CIS questionnaire include</w:t>
      </w:r>
      <w:r>
        <w:rPr>
          <w:rFonts w:ascii="Times New Roman" w:hAnsi="Times New Roman" w:cs="Times New Roman"/>
          <w:noProof/>
          <w:sz w:val="24"/>
          <w:szCs w:val="24"/>
        </w:rPr>
        <w:t xml:space="preserve">s a question about "public financial support for innovation activities" from the EU, and notably from the Framework Programme. However, due to the filters of the questionnaire, this question is asked to enterprises that declared having introduced product, </w:t>
      </w:r>
      <w:r>
        <w:rPr>
          <w:rFonts w:ascii="Times New Roman" w:hAnsi="Times New Roman" w:cs="Times New Roman"/>
          <w:noProof/>
          <w:sz w:val="24"/>
          <w:szCs w:val="24"/>
        </w:rPr>
        <w:t>service or process innovations. This means that: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 The CIS allows to identify FP7-supported product, service and process innovators, i.e. companies involved in FP7 that introduced such kinds of innovations. FP7-supported enterprises that developed organi</w:t>
      </w:r>
      <w:r>
        <w:rPr>
          <w:rFonts w:ascii="Times New Roman" w:hAnsi="Times New Roman" w:cs="Times New Roman"/>
          <w:noProof/>
          <w:sz w:val="24"/>
          <w:szCs w:val="24"/>
        </w:rPr>
        <w:t>sational and/or marketing innovations cannot be identified.</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(ii) It is not possible to identify enterprises that received financial support from FP7 and did not introduce any product, service or process innovation. This is the main issue of the CIS; it doe</w:t>
      </w:r>
      <w:r>
        <w:rPr>
          <w:rFonts w:ascii="Times New Roman" w:hAnsi="Times New Roman" w:cs="Times New Roman"/>
          <w:noProof/>
          <w:sz w:val="24"/>
          <w:szCs w:val="24"/>
        </w:rPr>
        <w:t>s not allow to analyse to what extent FP7-supported enterprises introduced more or less innovations than those not financed by the framework programme. The analysis can only compare the performance (i.e. products, services or processes new to the market or</w:t>
      </w:r>
      <w:r>
        <w:rPr>
          <w:rFonts w:ascii="Times New Roman" w:hAnsi="Times New Roman" w:cs="Times New Roman"/>
          <w:noProof/>
          <w:sz w:val="24"/>
          <w:szCs w:val="24"/>
        </w:rPr>
        <w:t xml:space="preserve"> new to the firm, and the turnover obtained) of innovators, with or without FP7 support.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data from the different editions of the CIS cannot be aggregated in a single file, because of the time overlaps mentioned above, and because some enterprises </w:t>
      </w:r>
      <w:r>
        <w:rPr>
          <w:rFonts w:ascii="Times New Roman" w:hAnsi="Times New Roman" w:cs="Times New Roman"/>
          <w:noProof/>
          <w:sz w:val="24"/>
          <w:szCs w:val="24"/>
        </w:rPr>
        <w:t>(especially, large ones) are surveyed in each edition. Such aggregation would imply a double-counting. Each CIS dataset has to be analysed independently.</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these caveats, the CIS data provides very reliable information about the performance of FP7-su</w:t>
      </w:r>
      <w:r>
        <w:rPr>
          <w:rFonts w:ascii="Times New Roman" w:hAnsi="Times New Roman" w:cs="Times New Roman"/>
          <w:noProof/>
          <w:sz w:val="24"/>
          <w:szCs w:val="24"/>
        </w:rPr>
        <w:t>pported innovators.</w:t>
      </w:r>
    </w:p>
    <w:p w:rsidR="00E535A0" w:rsidRDefault="00C953F5">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Innovation results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Comparing the performance of innovative enterprises financially supported by FP7 (and one year of FP6, for CIS 2008) with those not funded by the Framework Programme. They show that: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Innovative companies supported b</w:t>
      </w:r>
      <w:r>
        <w:rPr>
          <w:rFonts w:ascii="Times New Roman" w:hAnsi="Times New Roman" w:cs="Times New Roman"/>
          <w:noProof/>
          <w:sz w:val="24"/>
          <w:szCs w:val="24"/>
        </w:rPr>
        <w:t>y FP7 are more likely to introduced product or service innovations new to the market or the firm, and processes new to the market.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Those FP7-supported innovative enterprises obtain on average higher proportions of their total turnover from such exploited</w:t>
      </w:r>
      <w:r>
        <w:rPr>
          <w:rFonts w:ascii="Times New Roman" w:hAnsi="Times New Roman" w:cs="Times New Roman"/>
          <w:noProof/>
          <w:sz w:val="24"/>
          <w:szCs w:val="24"/>
        </w:rPr>
        <w:t xml:space="preserve"> innovations.</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important to clarify that the correlations does not imply causality. Statistics do not demonstrate that the better innovation performance is </w:t>
      </w:r>
      <w:r>
        <w:rPr>
          <w:rFonts w:ascii="Times New Roman" w:hAnsi="Times New Roman" w:cs="Times New Roman"/>
          <w:i/>
          <w:noProof/>
          <w:sz w:val="24"/>
          <w:szCs w:val="24"/>
        </w:rPr>
        <w:t>due to</w:t>
      </w:r>
      <w:r>
        <w:rPr>
          <w:rFonts w:ascii="Times New Roman" w:hAnsi="Times New Roman" w:cs="Times New Roman"/>
          <w:noProof/>
          <w:sz w:val="24"/>
          <w:szCs w:val="24"/>
        </w:rPr>
        <w:t xml:space="preserve"> FP7 participation. For example, it is also possible that FP7 attracted the best players </w:t>
      </w:r>
      <w:r>
        <w:rPr>
          <w:rFonts w:ascii="Times New Roman" w:hAnsi="Times New Roman" w:cs="Times New Roman"/>
          <w:noProof/>
          <w:sz w:val="24"/>
          <w:szCs w:val="24"/>
        </w:rPr>
        <w:t>in terms of innovation, which expected results are logically better. In any case, the results from the CIS analysis a better efficiency of innovators, in terms of market innovation, when they have been supported by FP7.</w:t>
      </w:r>
    </w:p>
    <w:p w:rsidR="00E535A0" w:rsidRDefault="00E535A0">
      <w:pPr>
        <w:spacing w:line="240" w:lineRule="auto"/>
        <w:rPr>
          <w:noProof/>
        </w:rPr>
      </w:pPr>
    </w:p>
    <w:p w:rsidR="00E535A0" w:rsidRDefault="00E535A0">
      <w:pPr>
        <w:spacing w:line="240" w:lineRule="auto"/>
        <w:rPr>
          <w:rFonts w:eastAsiaTheme="majorEastAsia"/>
          <w:b/>
          <w:bCs/>
          <w:smallCaps/>
          <w:noProof/>
          <w:szCs w:val="28"/>
        </w:rPr>
      </w:pPr>
    </w:p>
    <w:p w:rsidR="00E535A0" w:rsidRDefault="00E535A0">
      <w:pPr>
        <w:pStyle w:val="berschrift1"/>
        <w:rPr>
          <w:noProof/>
        </w:rPr>
        <w:sectPr w:rsidR="00E535A0">
          <w:headerReference w:type="even" r:id="rId113"/>
          <w:headerReference w:type="default" r:id="rId114"/>
          <w:footerReference w:type="even" r:id="rId115"/>
          <w:footerReference w:type="default" r:id="rId116"/>
          <w:headerReference w:type="first" r:id="rId117"/>
          <w:footerReference w:type="first" r:id="rId118"/>
          <w:pgSz w:w="11906" w:h="16838"/>
          <w:pgMar w:top="1701" w:right="1701" w:bottom="1701" w:left="1701" w:header="709" w:footer="709" w:gutter="0"/>
          <w:cols w:space="720"/>
          <w:docGrid w:linePitch="360"/>
        </w:sectPr>
      </w:pPr>
    </w:p>
    <w:p w:rsidR="00E535A0" w:rsidRDefault="00C953F5">
      <w:pPr>
        <w:pStyle w:val="berschrift1"/>
        <w:rPr>
          <w:noProof/>
          <w:szCs w:val="24"/>
        </w:rPr>
      </w:pPr>
      <w:bookmarkStart w:id="56" w:name="_Toc433998148"/>
      <w:bookmarkStart w:id="57" w:name="_Toc439752817"/>
      <w:r>
        <w:rPr>
          <w:noProof/>
          <w:szCs w:val="24"/>
        </w:rPr>
        <w:t>Contribution of FP7 themes and actions to overarching and specific objectives</w:t>
      </w:r>
      <w:bookmarkEnd w:id="56"/>
      <w:bookmarkEnd w:id="57"/>
    </w:p>
    <w:p w:rsidR="00E535A0" w:rsidRDefault="00E535A0">
      <w:pPr>
        <w:rPr>
          <w:noProof/>
        </w:rPr>
      </w:pPr>
    </w:p>
    <w:tbl>
      <w:tblPr>
        <w:tblStyle w:val="Tabellenraster"/>
        <w:tblW w:w="0" w:type="auto"/>
        <w:tblInd w:w="-543" w:type="dxa"/>
        <w:tblLook w:val="04A0" w:firstRow="1" w:lastRow="0" w:firstColumn="1" w:lastColumn="0" w:noHBand="0" w:noVBand="1"/>
      </w:tblPr>
      <w:tblGrid>
        <w:gridCol w:w="4055"/>
        <w:gridCol w:w="5422"/>
        <w:gridCol w:w="4718"/>
      </w:tblGrid>
      <w:tr w:rsidR="00E535A0">
        <w:tc>
          <w:tcPr>
            <w:tcW w:w="4055" w:type="dxa"/>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Objectives (what did we want to achieve)/ expected impacts</w:t>
            </w:r>
          </w:p>
        </w:tc>
        <w:tc>
          <w:tcPr>
            <w:tcW w:w="5422" w:type="dxa"/>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How did we want to achieve it?</w:t>
            </w:r>
          </w:p>
        </w:tc>
        <w:tc>
          <w:tcPr>
            <w:tcW w:w="4718" w:type="dxa"/>
          </w:tcPr>
          <w:p w:rsidR="00E535A0" w:rsidRDefault="00C953F5">
            <w:pPr>
              <w:jc w:val="both"/>
              <w:rPr>
                <w:rFonts w:ascii="Times New Roman" w:hAnsi="Times New Roman" w:cs="Times New Roman"/>
                <w:b/>
                <w:noProof/>
                <w:sz w:val="24"/>
                <w:szCs w:val="24"/>
              </w:rPr>
            </w:pPr>
            <w:r>
              <w:rPr>
                <w:rFonts w:ascii="Times New Roman" w:hAnsi="Times New Roman" w:cs="Times New Roman"/>
                <w:b/>
                <w:noProof/>
                <w:sz w:val="24"/>
                <w:szCs w:val="24"/>
              </w:rPr>
              <w:t>What happened? (output/ real impact)</w:t>
            </w:r>
          </w:p>
        </w:tc>
      </w:tr>
      <w:tr w:rsidR="00E535A0">
        <w:tc>
          <w:tcPr>
            <w:tcW w:w="14195" w:type="dxa"/>
            <w:gridSpan w:val="3"/>
          </w:tcPr>
          <w:p w:rsidR="00E535A0" w:rsidRDefault="00C953F5">
            <w:pPr>
              <w:jc w:val="both"/>
              <w:rPr>
                <w:rFonts w:ascii="Times New Roman" w:hAnsi="Times New Roman" w:cs="Times New Roman"/>
                <w:noProof/>
                <w:sz w:val="24"/>
                <w:szCs w:val="24"/>
              </w:rPr>
            </w:pPr>
            <w:r>
              <w:rPr>
                <w:rFonts w:ascii="Times New Roman" w:hAnsi="Times New Roman" w:cs="Times New Roman"/>
                <w:b/>
                <w:noProof/>
                <w:sz w:val="24"/>
                <w:szCs w:val="24"/>
              </w:rPr>
              <w:t xml:space="preserve">Overarching </w:t>
            </w:r>
            <w:r>
              <w:rPr>
                <w:rFonts w:ascii="Times New Roman" w:hAnsi="Times New Roman" w:cs="Times New Roman"/>
                <w:b/>
                <w:noProof/>
                <w:sz w:val="24"/>
                <w:szCs w:val="24"/>
              </w:rPr>
              <w:t>objectives</w:t>
            </w: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contribute to the Union becoming the world's leading research area</w:t>
            </w: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the whole FP7 </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has generated large number of publications and patents:</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 Number of patents per million inhabitants increased in the EU bridging the gap </w:t>
            </w:r>
            <w:r>
              <w:rPr>
                <w:rFonts w:ascii="Times New Roman" w:hAnsi="Times New Roman" w:cs="Times New Roman"/>
                <w:noProof/>
                <w:sz w:val="24"/>
                <w:szCs w:val="24"/>
              </w:rPr>
              <w:t xml:space="preserve">in the ratio in the US; </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filled weighted citation impact of FP7 publication is above EU average and in most cases above US average</w:t>
            </w: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To support progress towards the target of spending 3 percent of Europe's GDP on R&amp;D by 2010, two-thirds of it financed by </w:t>
            </w:r>
            <w:r>
              <w:rPr>
                <w:rFonts w:ascii="Times New Roman" w:hAnsi="Times New Roman" w:cs="Times New Roman"/>
                <w:noProof/>
                <w:sz w:val="24"/>
                <w:szCs w:val="24"/>
              </w:rPr>
              <w:t>the private sector</w:t>
            </w: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whole FP7</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Considering the fact that FP7 represented 6,4 % of GBAORD, its influence on EU research spending was limited.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Despite the economic crisis, FP7 contribution has helped maintaining research activities at n</w:t>
            </w:r>
            <w:r>
              <w:rPr>
                <w:rFonts w:ascii="Times New Roman" w:hAnsi="Times New Roman" w:cs="Times New Roman"/>
                <w:noProof/>
                <w:sz w:val="24"/>
                <w:szCs w:val="24"/>
              </w:rPr>
              <w:t>ational level.</w:t>
            </w: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To support the creation of the European Research Area </w:t>
            </w: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whole FP7</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supported the completion of ERA in 2004</w:t>
            </w:r>
          </w:p>
        </w:tc>
      </w:tr>
      <w:tr w:rsidR="00E535A0">
        <w:trPr>
          <w:trHeight w:val="3322"/>
        </w:trPr>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contribute to the development of a knowledge-based economy and society of Europe.</w:t>
            </w: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the </w:t>
            </w:r>
            <w:r>
              <w:rPr>
                <w:rFonts w:ascii="Times New Roman" w:hAnsi="Times New Roman" w:cs="Times New Roman"/>
                <w:noProof/>
                <w:sz w:val="24"/>
                <w:szCs w:val="24"/>
              </w:rPr>
              <w:t>whole FP7</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resulted in a probable cumulative increase in GDP of € 398,000 million until 2030, an extra 0.12% annual growth in GDP.</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The probable cumulative job creation of FP7 would be of 2,900,000 jobs.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probable increase in extra-European exports </w:t>
            </w:r>
            <w:r>
              <w:rPr>
                <w:rFonts w:ascii="Times New Roman" w:hAnsi="Times New Roman" w:cs="Times New Roman"/>
                <w:noProof/>
                <w:sz w:val="24"/>
                <w:szCs w:val="24"/>
              </w:rPr>
              <w:t>will be by up to an extra 0.19 percent by the year 2030, and imports to be reduced by up to 0.03 percent.</w:t>
            </w:r>
          </w:p>
        </w:tc>
      </w:tr>
      <w:tr w:rsidR="00E535A0">
        <w:tc>
          <w:tcPr>
            <w:tcW w:w="14195" w:type="dxa"/>
            <w:gridSpan w:val="3"/>
          </w:tcPr>
          <w:p w:rsidR="00E535A0" w:rsidRDefault="00C953F5">
            <w:pPr>
              <w:jc w:val="both"/>
              <w:rPr>
                <w:rFonts w:ascii="Times New Roman" w:hAnsi="Times New Roman" w:cs="Times New Roman"/>
                <w:noProof/>
                <w:sz w:val="24"/>
                <w:szCs w:val="24"/>
              </w:rPr>
            </w:pPr>
            <w:r>
              <w:rPr>
                <w:rFonts w:ascii="Times New Roman" w:hAnsi="Times New Roman" w:cs="Times New Roman"/>
                <w:b/>
                <w:noProof/>
                <w:sz w:val="24"/>
                <w:szCs w:val="24"/>
              </w:rPr>
              <w:t>Specific objectives</w:t>
            </w: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enhance the competitiveness of European industry by the common technology initiatives;</w:t>
            </w:r>
          </w:p>
          <w:p w:rsidR="00E535A0" w:rsidRDefault="00E535A0">
            <w:pPr>
              <w:jc w:val="both"/>
              <w:rPr>
                <w:rFonts w:ascii="Times New Roman" w:hAnsi="Times New Roman" w:cs="Times New Roman"/>
                <w:noProof/>
                <w:sz w:val="24"/>
                <w:szCs w:val="24"/>
              </w:rPr>
            </w:pP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the FP7 </w:t>
            </w:r>
            <w:r>
              <w:rPr>
                <w:rFonts w:ascii="Times New Roman" w:hAnsi="Times New Roman" w:cs="Times New Roman"/>
                <w:noProof/>
                <w:sz w:val="24"/>
                <w:szCs w:val="24"/>
              </w:rPr>
              <w:t>Cooperation Programme, notably by:</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thematic research, also benefitting SMEs;</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launching Joint Technology Initiatives.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Capacities Programme, notably the</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Risk Sharing Finance Facility</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Research for the Benefits of SME Programmes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w:t>
            </w:r>
            <w:r>
              <w:rPr>
                <w:rFonts w:ascii="Times New Roman" w:hAnsi="Times New Roman" w:cs="Times New Roman"/>
                <w:noProof/>
                <w:sz w:val="24"/>
                <w:szCs w:val="24"/>
              </w:rPr>
              <w:t>lementation of the FP7 Ideas Programme, notably the</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European Research Council (ERC) to foster frontier research</w:t>
            </w:r>
          </w:p>
          <w:p w:rsidR="00E535A0" w:rsidRDefault="00E535A0">
            <w:pPr>
              <w:jc w:val="both"/>
              <w:rPr>
                <w:rFonts w:ascii="Times New Roman" w:hAnsi="Times New Roman" w:cs="Times New Roman"/>
                <w:noProof/>
                <w:sz w:val="24"/>
                <w:szCs w:val="24"/>
              </w:rPr>
            </w:pP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After the economic crisis, launching contractual Public-Private Partnerships.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People Programmes, notably the Marie Curi</w:t>
            </w:r>
            <w:r>
              <w:rPr>
                <w:rFonts w:ascii="Times New Roman" w:hAnsi="Times New Roman" w:cs="Times New Roman"/>
                <w:noProof/>
                <w:sz w:val="24"/>
                <w:szCs w:val="24"/>
              </w:rPr>
              <w:t>e Actions (MCAs) and after the economic crisis the support to the European Industrial Doctorates and Industry-Academia Partnerships and Pathways.</w:t>
            </w:r>
          </w:p>
          <w:p w:rsidR="00E535A0" w:rsidRDefault="00E535A0">
            <w:pPr>
              <w:jc w:val="both"/>
              <w:rPr>
                <w:rFonts w:ascii="Times New Roman" w:hAnsi="Times New Roman" w:cs="Times New Roman"/>
                <w:noProof/>
                <w:sz w:val="24"/>
                <w:szCs w:val="24"/>
              </w:rPr>
            </w:pP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Overall,€ 1 of FP7 contribution mobilised a direct contribution of € 0.85 by the private sector (co-funding)F</w:t>
            </w:r>
            <w:r>
              <w:rPr>
                <w:rFonts w:ascii="Times New Roman" w:hAnsi="Times New Roman" w:cs="Times New Roman"/>
                <w:noProof/>
                <w:sz w:val="24"/>
                <w:szCs w:val="24"/>
              </w:rPr>
              <w:t xml:space="preserve">P7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70% of FP7 participants reported improved competitiveness.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17% of the FP7 Cooperation Programme contribution was allocated to SMEs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5 JTIs launched which reached a critical mass of financial, organisational and human resources in areas critical for </w:t>
            </w:r>
            <w:r>
              <w:rPr>
                <w:rFonts w:ascii="Times New Roman" w:hAnsi="Times New Roman" w:cs="Times New Roman"/>
                <w:noProof/>
                <w:sz w:val="24"/>
                <w:szCs w:val="24"/>
              </w:rPr>
              <w:t>the EU competitiveness.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The RSFF mobilised € 16.2 billion in total loan volume.</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SMEs participating in FP7 increased employment and operating revenue (38% higher than the control group).</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Frontier research is expected to generate radical breakthroughs.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cPPPs have leveraged private investment, engaging top industrial companies, SMEs and research organisations securing overall funding.</w:t>
            </w:r>
          </w:p>
        </w:tc>
      </w:tr>
      <w:tr w:rsidR="00E535A0">
        <w:trPr>
          <w:trHeight w:val="4793"/>
        </w:trPr>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increase European wide S&amp;T collaboration and networking for sharing R&amp;D risks and costs;</w:t>
            </w: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Co</w:t>
            </w:r>
            <w:r>
              <w:rPr>
                <w:rFonts w:ascii="Times New Roman" w:hAnsi="Times New Roman" w:cs="Times New Roman"/>
                <w:noProof/>
                <w:sz w:val="24"/>
                <w:szCs w:val="24"/>
              </w:rPr>
              <w:t>operation programme, notably through:</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Collaborative projects</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ERANETs; ERANET+</w:t>
            </w:r>
          </w:p>
          <w:p w:rsidR="00E535A0" w:rsidRDefault="00C953F5">
            <w:pPr>
              <w:pStyle w:val="Listenabsatz"/>
              <w:numPr>
                <w:ilvl w:val="0"/>
                <w:numId w:val="2"/>
              </w:numPr>
              <w:jc w:val="both"/>
              <w:rPr>
                <w:rFonts w:ascii="Times New Roman" w:hAnsi="Times New Roman" w:cs="Times New Roman"/>
                <w:noProof/>
                <w:sz w:val="24"/>
                <w:szCs w:val="24"/>
              </w:rPr>
            </w:pPr>
            <w:r>
              <w:rPr>
                <w:rFonts w:ascii="Times New Roman" w:hAnsi="Times New Roman" w:cs="Times New Roman"/>
                <w:noProof/>
                <w:sz w:val="24"/>
                <w:szCs w:val="24"/>
              </w:rPr>
              <w:t>Art. 185 initiatives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People, MCA network</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created durable, inter-disciplinary, cross-sectoral networks.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Number of participating organisations in FP</w:t>
            </w:r>
            <w:r>
              <w:rPr>
                <w:rFonts w:ascii="Times New Roman" w:hAnsi="Times New Roman" w:cs="Times New Roman"/>
                <w:noProof/>
                <w:sz w:val="24"/>
                <w:szCs w:val="24"/>
              </w:rPr>
              <w:t>7 grew compared to FP6. 72% of the organisations were new to FP7.</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mobilised 600,000 collaborations of which 450,000 were new.</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fostered inter-disciplinary knowledge generation. In most thematic areas, FP7 co-publications between private sector and</w:t>
            </w:r>
            <w:r>
              <w:rPr>
                <w:rFonts w:ascii="Times New Roman" w:hAnsi="Times New Roman" w:cs="Times New Roman"/>
                <w:noProof/>
                <w:sz w:val="24"/>
                <w:szCs w:val="24"/>
              </w:rPr>
              <w:t xml:space="preserve"> academia are higher than EU average.</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More than 60% of co-publication patterns in FP7 continued after the project ended.</w:t>
            </w:r>
          </w:p>
          <w:p w:rsidR="00E535A0" w:rsidRDefault="00E535A0">
            <w:pPr>
              <w:jc w:val="both"/>
              <w:rPr>
                <w:rFonts w:ascii="Times New Roman" w:hAnsi="Times New Roman" w:cs="Times New Roman"/>
                <w:noProof/>
                <w:sz w:val="24"/>
                <w:szCs w:val="24"/>
              </w:rPr>
            </w:pP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contribute to an increase in the level of research investment (contribute to the realisation of the 3% Barcelona objective by mor</w:t>
            </w:r>
            <w:r>
              <w:rPr>
                <w:rFonts w:ascii="Times New Roman" w:hAnsi="Times New Roman" w:cs="Times New Roman"/>
                <w:noProof/>
                <w:sz w:val="24"/>
                <w:szCs w:val="24"/>
              </w:rPr>
              <w:t>e than doubling Community investment in R&amp;D);</w:t>
            </w: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for whole FP, notably the JTIs, cPPPs and the RSFF</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Capacities Programme – Research Potential</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The overall FP7 leverage effect was 0.42.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The leverage effect of cPPPs was 0</w:t>
            </w:r>
            <w:r>
              <w:rPr>
                <w:rFonts w:ascii="Times New Roman" w:hAnsi="Times New Roman" w:cs="Times New Roman"/>
                <w:noProof/>
                <w:sz w:val="24"/>
                <w:szCs w:val="24"/>
              </w:rPr>
              <w:t>.5.</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The RSFF had a leverage effect of 6.6 and multiplier effect of 28. </w:t>
            </w:r>
          </w:p>
          <w:p w:rsidR="00E535A0" w:rsidRDefault="00E535A0">
            <w:pPr>
              <w:jc w:val="both"/>
              <w:rPr>
                <w:rFonts w:ascii="Times New Roman" w:hAnsi="Times New Roman" w:cs="Times New Roman"/>
                <w:noProof/>
                <w:sz w:val="24"/>
                <w:szCs w:val="24"/>
              </w:rPr>
            </w:pP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improve the coordination of European, national and regional research policies;</w:t>
            </w: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the FP7 Cooperation Programme, in particular the ERANETs, ERANET+ and the Article 185 initiatives.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Capacities, Regions of Knowledge Programme (RoK)</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Ideas – ERC programme</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w:t>
            </w:r>
            <w:r>
              <w:rPr>
                <w:rFonts w:ascii="Times New Roman" w:hAnsi="Times New Roman" w:cs="Times New Roman"/>
                <w:noProof/>
                <w:sz w:val="24"/>
                <w:szCs w:val="24"/>
              </w:rPr>
              <w:t>ion of FP7 – People- MCAs</w:t>
            </w:r>
          </w:p>
          <w:p w:rsidR="00E535A0" w:rsidRDefault="00E535A0">
            <w:pPr>
              <w:jc w:val="both"/>
              <w:rPr>
                <w:rFonts w:ascii="Times New Roman" w:hAnsi="Times New Roman" w:cs="Times New Roman"/>
                <w:noProof/>
                <w:sz w:val="24"/>
                <w:szCs w:val="24"/>
              </w:rPr>
            </w:pPr>
          </w:p>
          <w:p w:rsidR="00E535A0" w:rsidRDefault="00E535A0">
            <w:pPr>
              <w:jc w:val="both"/>
              <w:rPr>
                <w:rFonts w:ascii="Times New Roman" w:hAnsi="Times New Roman" w:cs="Times New Roman"/>
                <w:noProof/>
                <w:sz w:val="24"/>
                <w:szCs w:val="24"/>
              </w:rPr>
            </w:pP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FP7 effectively improved the coordination of European, national and regional research policies.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ERANETs mobilised € 2 billion national funding.</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Art. 185 initiatives had a leverage effect 1:1.5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MCAs leverage effect was 1:2.5</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ERC model adopted by 11 Member States</w:t>
            </w:r>
          </w:p>
          <w:p w:rsidR="00E535A0" w:rsidRDefault="00E535A0">
            <w:pPr>
              <w:jc w:val="both"/>
              <w:rPr>
                <w:rFonts w:ascii="Times New Roman" w:hAnsi="Times New Roman" w:cs="Times New Roman"/>
                <w:noProof/>
                <w:sz w:val="24"/>
                <w:szCs w:val="24"/>
              </w:rPr>
            </w:pP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strengthen the scientific excellence of basic research in Europe through increasing coordination and competition at the European level;</w:t>
            </w: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Ideas – ERC programme</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FP7 – </w:t>
            </w:r>
            <w:r>
              <w:rPr>
                <w:rFonts w:ascii="Times New Roman" w:hAnsi="Times New Roman" w:cs="Times New Roman"/>
                <w:noProof/>
                <w:sz w:val="24"/>
                <w:szCs w:val="24"/>
              </w:rPr>
              <w:t>People- MCAs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Cooperation Programme – thematic actions on collaborative research</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publications in top 1 and 5% journals were above EU average.</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cross-border co-publication patterns were above average of the EU, US, and worl</w:t>
            </w:r>
            <w:r>
              <w:rPr>
                <w:rFonts w:ascii="Times New Roman" w:hAnsi="Times New Roman" w:cs="Times New Roman"/>
                <w:noProof/>
                <w:sz w:val="24"/>
                <w:szCs w:val="24"/>
              </w:rPr>
              <w:t>d.</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Increased participation in FP7 is highly correlated with patent applications, publications and number of PhD graduates employed. </w:t>
            </w: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attracted a high number of Nobel prize and Fields Medallists winners.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MCA mobilised the 100 best ranked EU universiti</w:t>
            </w:r>
            <w:r>
              <w:rPr>
                <w:rFonts w:ascii="Times New Roman" w:hAnsi="Times New Roman" w:cs="Times New Roman"/>
                <w:noProof/>
                <w:sz w:val="24"/>
                <w:szCs w:val="24"/>
              </w:rPr>
              <w:t>es.</w:t>
            </w:r>
          </w:p>
          <w:p w:rsidR="00E535A0" w:rsidRDefault="00E535A0">
            <w:pPr>
              <w:jc w:val="both"/>
              <w:rPr>
                <w:rFonts w:ascii="Times New Roman" w:hAnsi="Times New Roman" w:cs="Times New Roman"/>
                <w:noProof/>
                <w:sz w:val="24"/>
                <w:szCs w:val="24"/>
              </w:rPr>
            </w:pP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promote the development of European research careers and to make Europe more attractive to the best researchers;</w:t>
            </w: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FP7 – People- MCAs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Ideas – ERC programme</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the FP7 Cooperation </w:t>
            </w:r>
            <w:r>
              <w:rPr>
                <w:rFonts w:ascii="Times New Roman" w:hAnsi="Times New Roman" w:cs="Times New Roman"/>
                <w:noProof/>
                <w:sz w:val="24"/>
                <w:szCs w:val="24"/>
              </w:rPr>
              <w:t>Programme – thematic actions on collaborative research</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Capacities Programme – Research Potential</w:t>
            </w:r>
          </w:p>
          <w:p w:rsidR="00E535A0" w:rsidRDefault="00E535A0">
            <w:pPr>
              <w:jc w:val="both"/>
              <w:rPr>
                <w:rFonts w:ascii="Times New Roman" w:hAnsi="Times New Roman" w:cs="Times New Roman"/>
                <w:noProof/>
                <w:sz w:val="24"/>
                <w:szCs w:val="24"/>
              </w:rPr>
            </w:pP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 People - MCA supported the development of scientific careers of 50,000 researchers (including 10,000 PhD candidates), representin</w:t>
            </w:r>
            <w:r>
              <w:rPr>
                <w:rFonts w:ascii="Times New Roman" w:hAnsi="Times New Roman" w:cs="Times New Roman"/>
                <w:noProof/>
                <w:sz w:val="24"/>
                <w:szCs w:val="24"/>
              </w:rPr>
              <w:t xml:space="preserve">g over 140 different nationalities, located in more than 80 countries.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46% of researchers from industrialised countries stayed in Europe after the end of their fellowship.</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 fostered long term mobility (39% in FP7 vs 26% among non-participants).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c</w:t>
            </w:r>
            <w:r>
              <w:rPr>
                <w:rFonts w:ascii="Times New Roman" w:hAnsi="Times New Roman" w:cs="Times New Roman"/>
                <w:noProof/>
                <w:sz w:val="24"/>
                <w:szCs w:val="24"/>
              </w:rPr>
              <w:t>ontributed to more transparent and merit-based recruitment (30 – 40% of beneficiaries).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contributed to more long-term researchers recruitment (43% of researchers stayed in the team after the end of the project).</w:t>
            </w:r>
          </w:p>
          <w:p w:rsidR="00E535A0" w:rsidRDefault="00E535A0">
            <w:pPr>
              <w:jc w:val="both"/>
              <w:rPr>
                <w:rFonts w:ascii="Times New Roman" w:hAnsi="Times New Roman" w:cs="Times New Roman"/>
                <w:noProof/>
                <w:sz w:val="24"/>
                <w:szCs w:val="24"/>
              </w:rPr>
            </w:pPr>
          </w:p>
          <w:p w:rsidR="00E535A0" w:rsidRDefault="00E535A0">
            <w:pPr>
              <w:jc w:val="both"/>
              <w:rPr>
                <w:rFonts w:ascii="Times New Roman" w:hAnsi="Times New Roman" w:cs="Times New Roman"/>
                <w:noProof/>
                <w:sz w:val="24"/>
                <w:szCs w:val="24"/>
              </w:rPr>
            </w:pPr>
          </w:p>
          <w:p w:rsidR="00E535A0" w:rsidRDefault="00E535A0">
            <w:pPr>
              <w:jc w:val="both"/>
              <w:rPr>
                <w:rFonts w:ascii="Times New Roman" w:hAnsi="Times New Roman" w:cs="Times New Roman"/>
                <w:noProof/>
                <w:sz w:val="24"/>
                <w:szCs w:val="24"/>
              </w:rPr>
            </w:pP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provide the knowledge-base neede</w:t>
            </w:r>
            <w:r>
              <w:rPr>
                <w:rFonts w:ascii="Times New Roman" w:hAnsi="Times New Roman" w:cs="Times New Roman"/>
                <w:noProof/>
                <w:sz w:val="24"/>
                <w:szCs w:val="24"/>
              </w:rPr>
              <w:t>d to support key Community policies</w:t>
            </w: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Cooperation Programme thematic actions on collaborative research</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 xml:space="preserve">Implementation of the FP7 Capacities, Coherent Development of Research Policies (COH) and Regions of Knowledge Programme (RoK); </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Cooperation Programme – INCO</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Capacities – activities of international cooperation</w:t>
            </w:r>
          </w:p>
          <w:p w:rsidR="00E535A0" w:rsidRDefault="00E535A0">
            <w:pPr>
              <w:jc w:val="both"/>
              <w:rPr>
                <w:rFonts w:ascii="Times New Roman" w:hAnsi="Times New Roman" w:cs="Times New Roman"/>
                <w:noProof/>
                <w:sz w:val="24"/>
                <w:szCs w:val="24"/>
              </w:rPr>
            </w:pP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Cooperation Programme supported key Community policies.</w:t>
            </w:r>
          </w:p>
          <w:p w:rsidR="00E535A0" w:rsidRDefault="00E535A0">
            <w:pPr>
              <w:jc w:val="both"/>
              <w:rPr>
                <w:rFonts w:ascii="Times New Roman" w:hAnsi="Times New Roman" w:cs="Times New Roman"/>
                <w:noProof/>
                <w:sz w:val="24"/>
                <w:szCs w:val="24"/>
              </w:rPr>
            </w:pPr>
          </w:p>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Capacities Programme RoK contributed to smart special</w:t>
            </w:r>
            <w:r>
              <w:rPr>
                <w:rFonts w:ascii="Times New Roman" w:hAnsi="Times New Roman" w:cs="Times New Roman"/>
                <w:noProof/>
                <w:sz w:val="24"/>
                <w:szCs w:val="24"/>
              </w:rPr>
              <w:t>isation strategies. INCO contributed to a broad range of Community instruments.</w:t>
            </w:r>
          </w:p>
          <w:p w:rsidR="00E535A0" w:rsidRDefault="00E535A0">
            <w:pPr>
              <w:jc w:val="both"/>
              <w:rPr>
                <w:rFonts w:ascii="Times New Roman" w:hAnsi="Times New Roman" w:cs="Times New Roman"/>
                <w:noProof/>
                <w:sz w:val="24"/>
                <w:szCs w:val="24"/>
              </w:rPr>
            </w:pPr>
          </w:p>
          <w:p w:rsidR="00E535A0" w:rsidRDefault="00E535A0">
            <w:pPr>
              <w:jc w:val="both"/>
              <w:rPr>
                <w:rFonts w:ascii="Times New Roman" w:hAnsi="Times New Roman" w:cs="Times New Roman"/>
                <w:noProof/>
                <w:sz w:val="24"/>
                <w:szCs w:val="24"/>
              </w:rPr>
            </w:pPr>
          </w:p>
        </w:tc>
      </w:tr>
      <w:tr w:rsidR="00E535A0">
        <w:tc>
          <w:tcPr>
            <w:tcW w:w="4055"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To increase availability, coordination and access in relation to top-level European scientific and technological infrastructure.</w:t>
            </w:r>
          </w:p>
          <w:p w:rsidR="00E535A0" w:rsidRDefault="00E535A0">
            <w:pPr>
              <w:jc w:val="both"/>
              <w:rPr>
                <w:rFonts w:ascii="Times New Roman" w:hAnsi="Times New Roman" w:cs="Times New Roman"/>
                <w:noProof/>
                <w:sz w:val="24"/>
                <w:szCs w:val="24"/>
              </w:rPr>
            </w:pPr>
          </w:p>
        </w:tc>
        <w:tc>
          <w:tcPr>
            <w:tcW w:w="5422"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Implementation of the FP7 Capacities – rese</w:t>
            </w:r>
            <w:r>
              <w:rPr>
                <w:rFonts w:ascii="Times New Roman" w:hAnsi="Times New Roman" w:cs="Times New Roman"/>
                <w:noProof/>
                <w:sz w:val="24"/>
                <w:szCs w:val="24"/>
              </w:rPr>
              <w:t>arch infrastructures</w:t>
            </w:r>
          </w:p>
        </w:tc>
        <w:tc>
          <w:tcPr>
            <w:tcW w:w="4718" w:type="dxa"/>
          </w:tcPr>
          <w:p w:rsidR="00E535A0" w:rsidRDefault="00C953F5">
            <w:pPr>
              <w:jc w:val="both"/>
              <w:rPr>
                <w:rFonts w:ascii="Times New Roman" w:hAnsi="Times New Roman" w:cs="Times New Roman"/>
                <w:noProof/>
                <w:sz w:val="24"/>
                <w:szCs w:val="24"/>
              </w:rPr>
            </w:pPr>
            <w:r>
              <w:rPr>
                <w:rFonts w:ascii="Times New Roman" w:hAnsi="Times New Roman" w:cs="Times New Roman"/>
                <w:noProof/>
                <w:sz w:val="24"/>
                <w:szCs w:val="24"/>
              </w:rPr>
              <w:t>FP7 fostered the integration of around 900 research infrastructures in networks, which provided access and services to more than 20000 users so far and another 20000 potential users in the next years.</w:t>
            </w:r>
          </w:p>
        </w:tc>
      </w:tr>
    </w:tbl>
    <w:p w:rsidR="00E535A0" w:rsidRDefault="00E535A0">
      <w:pPr>
        <w:pStyle w:val="berschrift1"/>
        <w:rPr>
          <w:noProof/>
        </w:rPr>
        <w:sectPr w:rsidR="00E535A0">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701" w:right="1701" w:bottom="1701" w:left="1701" w:header="709" w:footer="709" w:gutter="0"/>
          <w:cols w:space="720"/>
          <w:docGrid w:linePitch="360"/>
        </w:sectPr>
      </w:pPr>
    </w:p>
    <w:p w:rsidR="00E535A0" w:rsidRDefault="00C953F5">
      <w:pPr>
        <w:pStyle w:val="berschrift1"/>
        <w:rPr>
          <w:noProof/>
          <w:szCs w:val="24"/>
        </w:rPr>
      </w:pPr>
      <w:bookmarkStart w:id="58" w:name="_Toc433998149"/>
      <w:bookmarkStart w:id="59" w:name="_Toc439752818"/>
      <w:r>
        <w:rPr>
          <w:noProof/>
          <w:szCs w:val="24"/>
        </w:rPr>
        <w:t>FP7 Achievements according to the High Level Expert Group on the ex-post evaluation of FP7</w:t>
      </w:r>
      <w:bookmarkEnd w:id="58"/>
      <w:bookmarkEnd w:id="59"/>
    </w:p>
    <w:p w:rsidR="00E535A0" w:rsidRDefault="00E535A0">
      <w:pPr>
        <w:pStyle w:val="Text1"/>
        <w:rPr>
          <w:noProof/>
          <w:szCs w:val="24"/>
        </w:rPr>
      </w:pPr>
    </w:p>
    <w:p w:rsidR="00E535A0" w:rsidRDefault="00C953F5">
      <w:pPr>
        <w:pStyle w:val="Text1"/>
        <w:rPr>
          <w:noProof/>
          <w:szCs w:val="24"/>
        </w:rPr>
      </w:pPr>
      <w:r>
        <w:rPr>
          <w:noProof/>
          <w:szCs w:val="24"/>
        </w:rPr>
        <w:t>1.</w:t>
      </w:r>
      <w:r>
        <w:rPr>
          <w:noProof/>
          <w:szCs w:val="24"/>
        </w:rPr>
        <w:tab/>
        <w:t xml:space="preserve">Encouraged scientific excellence on individual and institutional level. FP7-IDEAS demonstrated its ability to attract excellent </w:t>
      </w:r>
      <w:r>
        <w:rPr>
          <w:noProof/>
          <w:szCs w:val="24"/>
        </w:rPr>
        <w:t xml:space="preserve">researchers and become a benchmark of individual excellence. FP7-PEOPLE has set a European standard for doctoral training of a new generation of excellent scientists. FP7-COOPERATION facilitated transnational collaboration and thus provided a platform for </w:t>
      </w:r>
      <w:r>
        <w:rPr>
          <w:noProof/>
          <w:szCs w:val="24"/>
        </w:rPr>
        <w:t>the best minds to work together in order to contribute to solving major societal challenges. FP7-CAPACITIES supported the involvement of excellent organizations from the SME sector, civil society, new EU Member States and developing countries in European r</w:t>
      </w:r>
      <w:r>
        <w:rPr>
          <w:noProof/>
          <w:szCs w:val="24"/>
        </w:rPr>
        <w:t>esearch.</w:t>
      </w:r>
    </w:p>
    <w:p w:rsidR="00E535A0" w:rsidRDefault="00C953F5">
      <w:pPr>
        <w:pStyle w:val="Text1"/>
        <w:rPr>
          <w:noProof/>
          <w:szCs w:val="24"/>
        </w:rPr>
      </w:pPr>
      <w:r>
        <w:rPr>
          <w:noProof/>
          <w:szCs w:val="24"/>
        </w:rPr>
        <w:t>2.</w:t>
      </w:r>
      <w:r>
        <w:rPr>
          <w:noProof/>
          <w:szCs w:val="24"/>
        </w:rPr>
        <w:tab/>
        <w:t>Promoted ground-breaking research through a novel programme FP7-IDEAS (ERC).  The focus on supporting frontier research which, by definition, can be a risky endeavour, was enhanced. The number of publications in top rated scientific journals th</w:t>
      </w:r>
      <w:r>
        <w:rPr>
          <w:noProof/>
          <w:szCs w:val="24"/>
        </w:rPr>
        <w:t>at acknowledge ERC funding, Nobel Prizes and Fields medals received by ERC grantees all attest to ERC grants becoming a mark of scientific excellence.</w:t>
      </w:r>
    </w:p>
    <w:p w:rsidR="00E535A0" w:rsidRDefault="00C953F5">
      <w:pPr>
        <w:pStyle w:val="Text1"/>
        <w:rPr>
          <w:noProof/>
          <w:szCs w:val="24"/>
        </w:rPr>
      </w:pPr>
      <w:r>
        <w:rPr>
          <w:noProof/>
          <w:szCs w:val="24"/>
        </w:rPr>
        <w:t>3.</w:t>
      </w:r>
      <w:r>
        <w:rPr>
          <w:noProof/>
          <w:szCs w:val="24"/>
        </w:rPr>
        <w:tab/>
        <w:t>Engaged industry and SMEs strategically. Both, large corporations and SMEs have been involved extensiv</w:t>
      </w:r>
      <w:r>
        <w:rPr>
          <w:noProof/>
          <w:szCs w:val="24"/>
        </w:rPr>
        <w:t>ely through increased public-private-partnerships, in particular the development of JTIs, and through a range of SME specific programmes. This has underlined FP7’s intended role of fostering Europe’s innovation-based competitiveness.</w:t>
      </w:r>
    </w:p>
    <w:p w:rsidR="00E535A0" w:rsidRDefault="00C953F5">
      <w:pPr>
        <w:pStyle w:val="Text1"/>
        <w:rPr>
          <w:noProof/>
          <w:szCs w:val="24"/>
        </w:rPr>
      </w:pPr>
      <w:r>
        <w:rPr>
          <w:noProof/>
          <w:szCs w:val="24"/>
        </w:rPr>
        <w:t>4.</w:t>
      </w:r>
      <w:r>
        <w:rPr>
          <w:noProof/>
          <w:szCs w:val="24"/>
        </w:rPr>
        <w:tab/>
        <w:t>Reinforced a new mo</w:t>
      </w:r>
      <w:r>
        <w:rPr>
          <w:noProof/>
          <w:szCs w:val="24"/>
        </w:rPr>
        <w:t>de of collaboration and an open innovation framework. This was achieved through a more decentralized approach to the design, structure and direction of projects across the ERC, JTIs and the EIT. During the FP7 period, the European Commission has adapted th</w:t>
      </w:r>
      <w:r>
        <w:rPr>
          <w:noProof/>
          <w:szCs w:val="24"/>
        </w:rPr>
        <w:t>e programme to the economic crisis and has responded to the a more generalised pursuit of open innovation.</w:t>
      </w:r>
    </w:p>
    <w:p w:rsidR="00E535A0" w:rsidRDefault="00C953F5">
      <w:pPr>
        <w:pStyle w:val="Text1"/>
        <w:rPr>
          <w:noProof/>
          <w:szCs w:val="24"/>
        </w:rPr>
      </w:pPr>
      <w:r>
        <w:rPr>
          <w:noProof/>
          <w:szCs w:val="24"/>
        </w:rPr>
        <w:t>5.</w:t>
      </w:r>
      <w:r>
        <w:rPr>
          <w:noProof/>
          <w:szCs w:val="24"/>
        </w:rPr>
        <w:tab/>
        <w:t>Strengthened the European Research Area by catalysing a culture of cooperation and constructing comprehensive networks fit to address thematic cha</w:t>
      </w:r>
      <w:r>
        <w:rPr>
          <w:noProof/>
          <w:szCs w:val="24"/>
        </w:rPr>
        <w:t>llenges. A unique capability of cross-border and cross-sector cooperation was promoted, with organisations from on average of 6 countries collaborating in projects funded by FP7-COOPERATION and FP7-CAPACITIES.</w:t>
      </w:r>
    </w:p>
    <w:p w:rsidR="00E535A0" w:rsidRDefault="00C953F5">
      <w:pPr>
        <w:pStyle w:val="Text1"/>
        <w:rPr>
          <w:noProof/>
          <w:szCs w:val="24"/>
        </w:rPr>
      </w:pPr>
      <w:r>
        <w:rPr>
          <w:noProof/>
          <w:szCs w:val="24"/>
        </w:rPr>
        <w:t>6.</w:t>
      </w:r>
      <w:r>
        <w:rPr>
          <w:noProof/>
          <w:szCs w:val="24"/>
        </w:rPr>
        <w:tab/>
        <w:t>Addressed certain societal challenges throu</w:t>
      </w:r>
      <w:r>
        <w:rPr>
          <w:noProof/>
          <w:szCs w:val="24"/>
        </w:rPr>
        <w:t>gh research, technology and innovation. FP7-COOPERATION included society-relevant themes, such as Health, Energy, Transport and Security, whilst FP7-CAPACITIES included a specific sub-programme that was dedicated to "Science in Society". Furthermore, the f</w:t>
      </w:r>
      <w:r>
        <w:rPr>
          <w:noProof/>
          <w:szCs w:val="24"/>
        </w:rPr>
        <w:t xml:space="preserve">ocus on gender equality evolved from exclusively promoting individual female scientists to facilitating structural change in institutions. </w:t>
      </w:r>
    </w:p>
    <w:p w:rsidR="00E535A0" w:rsidRDefault="00C953F5">
      <w:pPr>
        <w:pStyle w:val="Text1"/>
        <w:rPr>
          <w:noProof/>
          <w:szCs w:val="24"/>
        </w:rPr>
      </w:pPr>
      <w:r>
        <w:rPr>
          <w:noProof/>
          <w:szCs w:val="24"/>
        </w:rPr>
        <w:t>7.</w:t>
      </w:r>
      <w:r>
        <w:rPr>
          <w:noProof/>
          <w:szCs w:val="24"/>
        </w:rPr>
        <w:tab/>
        <w:t>Encouraged harmonisation of national research and innovation systems and policies. In most EU Member States FP7 c</w:t>
      </w:r>
      <w:r>
        <w:rPr>
          <w:noProof/>
          <w:szCs w:val="24"/>
        </w:rPr>
        <w:t>ontributed to scientific excellence, focused on addressing societal challenges, and set standards for research funding mechanisms and selection processes. Through the sub-programme FP7-ERA-NET the cooperation and coordination of research activities carried</w:t>
      </w:r>
      <w:r>
        <w:rPr>
          <w:noProof/>
          <w:szCs w:val="24"/>
        </w:rPr>
        <w:t xml:space="preserve"> out at national or regional level in the Member States and Associated States were intensified through networking of research activities, and the efforts to coordinate research programmes.</w:t>
      </w:r>
    </w:p>
    <w:p w:rsidR="00E535A0" w:rsidRDefault="00C953F5">
      <w:pPr>
        <w:pStyle w:val="Text1"/>
        <w:rPr>
          <w:noProof/>
          <w:szCs w:val="24"/>
        </w:rPr>
      </w:pPr>
      <w:r>
        <w:rPr>
          <w:noProof/>
          <w:szCs w:val="24"/>
        </w:rPr>
        <w:t>8.</w:t>
      </w:r>
      <w:r>
        <w:rPr>
          <w:noProof/>
          <w:szCs w:val="24"/>
        </w:rPr>
        <w:tab/>
        <w:t>Stimulated mobility of researchers across Europe. FP7-PEOPLE has</w:t>
      </w:r>
      <w:r>
        <w:rPr>
          <w:noProof/>
          <w:szCs w:val="24"/>
        </w:rPr>
        <w:t xml:space="preserve"> created the necessary conditions for an open labour market of researchers and supported their geographical mobility. Achievements during the FP7 period included fellowships gaining recognition as the best practice of doctoral training and the creation of </w:t>
      </w:r>
      <w:r>
        <w:rPr>
          <w:noProof/>
          <w:szCs w:val="24"/>
        </w:rPr>
        <w:t xml:space="preserve">attractive working conditions for geographically mobile researchers. </w:t>
      </w:r>
    </w:p>
    <w:p w:rsidR="00E535A0" w:rsidRDefault="00C953F5">
      <w:pPr>
        <w:pStyle w:val="Text1"/>
        <w:rPr>
          <w:noProof/>
          <w:szCs w:val="24"/>
        </w:rPr>
      </w:pPr>
      <w:r>
        <w:rPr>
          <w:noProof/>
          <w:szCs w:val="24"/>
        </w:rPr>
        <w:t>9.</w:t>
      </w:r>
      <w:r>
        <w:rPr>
          <w:noProof/>
          <w:szCs w:val="24"/>
        </w:rPr>
        <w:tab/>
        <w:t>Promoted investment in European research infrastructures. A combination of the support for the European Strategy Forum Initiatives for Research Infrastructures (ESFRI) and FP7-CAPACIT</w:t>
      </w:r>
      <w:r>
        <w:rPr>
          <w:noProof/>
          <w:szCs w:val="24"/>
        </w:rPr>
        <w:t xml:space="preserve">IES helped to achieve a more coherent and coordinated development and use of European research infrastructures. </w:t>
      </w:r>
    </w:p>
    <w:p w:rsidR="00E535A0" w:rsidRDefault="00C953F5">
      <w:pPr>
        <w:pStyle w:val="Text1"/>
        <w:rPr>
          <w:noProof/>
          <w:szCs w:val="24"/>
        </w:rPr>
      </w:pPr>
      <w:r>
        <w:rPr>
          <w:noProof/>
          <w:szCs w:val="24"/>
        </w:rPr>
        <w:t>10.</w:t>
      </w:r>
      <w:r>
        <w:rPr>
          <w:noProof/>
          <w:szCs w:val="24"/>
        </w:rPr>
        <w:tab/>
        <w:t>Reached a critical mass of research across the European landscape and worldwide. Human and financial resources were made available to attra</w:t>
      </w:r>
      <w:r>
        <w:rPr>
          <w:noProof/>
          <w:szCs w:val="24"/>
        </w:rPr>
        <w:t>ct many organizations and individuals to collaborate with or work at European research institutions. Furthermore, a research programme of such scale has helped to put research on the public agenda and to show that research can be an instrument for economic</w:t>
      </w:r>
      <w:r>
        <w:rPr>
          <w:noProof/>
          <w:szCs w:val="24"/>
        </w:rPr>
        <w:t xml:space="preserve"> and social development.</w:t>
      </w:r>
    </w:p>
    <w:p w:rsidR="00E535A0" w:rsidRDefault="00C953F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p>
    <w:p w:rsidR="00E535A0" w:rsidRDefault="00E535A0">
      <w:pPr>
        <w:pStyle w:val="Text1"/>
        <w:rPr>
          <w:noProof/>
          <w:szCs w:val="24"/>
        </w:rPr>
      </w:pPr>
    </w:p>
    <w:p w:rsidR="00E535A0" w:rsidRDefault="00C953F5">
      <w:pPr>
        <w:pStyle w:val="berschrift1"/>
        <w:rPr>
          <w:noProof/>
          <w:szCs w:val="24"/>
        </w:rPr>
      </w:pPr>
      <w:bookmarkStart w:id="60" w:name="_Toc433998150"/>
      <w:bookmarkStart w:id="61" w:name="_Toc439752819"/>
      <w:r>
        <w:rPr>
          <w:noProof/>
          <w:szCs w:val="24"/>
        </w:rPr>
        <w:t>List of Acronyms</w:t>
      </w:r>
      <w:bookmarkEnd w:id="60"/>
      <w:bookmarkEnd w:id="61"/>
    </w:p>
    <w:p w:rsidR="00E535A0" w:rsidRDefault="00E535A0">
      <w:pPr>
        <w:spacing w:after="0" w:line="240" w:lineRule="auto"/>
        <w:jc w:val="both"/>
        <w:rPr>
          <w:rFonts w:ascii="Times New Roman" w:eastAsia="Times New Roman" w:hAnsi="Times New Roman" w:cs="Times New Roman"/>
          <w:b/>
          <w:i/>
          <w:smallCaps/>
          <w:noProof/>
          <w:sz w:val="24"/>
          <w:szCs w:val="24"/>
          <w:u w:val="single"/>
        </w:rPr>
      </w:pP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COFUND: Co-funding of Regional, National and International Programmes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COST: Scientific and Technological Cooperation</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EIB: European Investment Bank</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EIT: European Institute of Technology</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EIF: European Investment </w:t>
      </w:r>
      <w:r>
        <w:rPr>
          <w:rFonts w:ascii="Times New Roman" w:eastAsia="Times New Roman" w:hAnsi="Times New Roman" w:cs="Times New Roman"/>
          <w:noProof/>
          <w:sz w:val="24"/>
          <w:szCs w:val="24"/>
        </w:rPr>
        <w:t>Fund</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ERA: European Research Area</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ERC: European Research Council</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ETP: European Technology Platform </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EU: European Union</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EURATOM: European Atomic Energy Community </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FP: Framework Programme</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GHG: Greenhouse Gases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GMES: Global Monitoring for Environment and </w:t>
      </w:r>
      <w:r>
        <w:rPr>
          <w:rFonts w:ascii="Times New Roman" w:eastAsia="Times New Roman" w:hAnsi="Times New Roman" w:cs="Times New Roman"/>
          <w:noProof/>
          <w:sz w:val="24"/>
          <w:szCs w:val="24"/>
        </w:rPr>
        <w:t>Security</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IA: Impact Assessment</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IAPP: Industry-Academia partnerships and pathways </w:t>
      </w:r>
    </w:p>
    <w:p w:rsidR="00E535A0" w:rsidRDefault="00C953F5">
      <w:pPr>
        <w:spacing w:before="60" w:after="0" w:line="240" w:lineRule="auto"/>
        <w:jc w:val="both"/>
        <w:rPr>
          <w:rFonts w:ascii="Times New Roman" w:eastAsia="Times New Roman" w:hAnsi="Times New Roman" w:cs="Times New Roman"/>
          <w:noProof/>
          <w:sz w:val="24"/>
          <w:szCs w:val="24"/>
          <w:lang w:val="it-IT"/>
        </w:rPr>
      </w:pPr>
      <w:r>
        <w:rPr>
          <w:rFonts w:ascii="Times New Roman" w:eastAsia="Times New Roman" w:hAnsi="Times New Roman" w:cs="Times New Roman"/>
          <w:noProof/>
          <w:sz w:val="24"/>
          <w:szCs w:val="24"/>
          <w:lang w:val="it-IT"/>
        </w:rPr>
        <w:t>IMI: Innovative Medicines Initiative</w:t>
      </w:r>
    </w:p>
    <w:p w:rsidR="00E535A0" w:rsidRDefault="00C953F5">
      <w:pPr>
        <w:spacing w:before="60" w:after="0" w:line="240" w:lineRule="auto"/>
        <w:jc w:val="both"/>
        <w:rPr>
          <w:rFonts w:ascii="Times New Roman" w:eastAsia="Times New Roman" w:hAnsi="Times New Roman" w:cs="Times New Roman"/>
          <w:noProof/>
          <w:sz w:val="24"/>
          <w:szCs w:val="24"/>
          <w:lang w:val="it-IT"/>
        </w:rPr>
      </w:pPr>
      <w:r>
        <w:rPr>
          <w:rFonts w:ascii="Times New Roman" w:eastAsia="Times New Roman" w:hAnsi="Times New Roman" w:cs="Times New Roman"/>
          <w:noProof/>
          <w:sz w:val="24"/>
          <w:szCs w:val="24"/>
          <w:lang w:val="it-IT"/>
        </w:rPr>
        <w:t>INCO: International Cooperation</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IPR: Intellectual Property Rights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JTI: Joint Technology Initiative</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KBBE: Knowledge Based Bio-Economy</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MCA:</w:t>
      </w:r>
      <w:r>
        <w:rPr>
          <w:rFonts w:ascii="Times New Roman" w:eastAsia="Times New Roman" w:hAnsi="Times New Roman" w:cs="Times New Roman"/>
          <w:noProof/>
          <w:sz w:val="24"/>
          <w:szCs w:val="24"/>
        </w:rPr>
        <w:t xml:space="preserve"> Marie Curie Actions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MPC: Mediterranean Partner Countries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NCP: National Contact Point</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RI: Research Infrastructures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R&amp;D: Research and Development</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R&amp;I: Research and Innovation</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RTO: Research and Technological Organisation</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RSFF: Risk-Sharing Finance Facility</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w:t>
      </w:r>
      <w:r>
        <w:rPr>
          <w:rFonts w:ascii="Times New Roman" w:eastAsia="Times New Roman" w:hAnsi="Times New Roman" w:cs="Times New Roman"/>
          <w:noProof/>
          <w:sz w:val="24"/>
          <w:szCs w:val="24"/>
        </w:rPr>
        <w:t>ESAM: On-line Submission Tool</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SME: Small and Medium-sized Enterprise</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SP: Specific Programme</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SPP: Strategic Planning and Programming</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SSH: Social Sciences and Humanities</w:t>
      </w:r>
    </w:p>
    <w:p w:rsidR="00E535A0" w:rsidRDefault="00C953F5">
      <w:p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WP: Work Programme</w:t>
      </w:r>
    </w:p>
    <w:sectPr w:rsidR="00E535A0">
      <w:headerReference w:type="even" r:id="rId125"/>
      <w:headerReference w:type="default" r:id="rId126"/>
      <w:footerReference w:type="even" r:id="rId127"/>
      <w:footerReference w:type="default" r:id="rId128"/>
      <w:headerReference w:type="first" r:id="rId129"/>
      <w:footerReference w:type="first" r:id="rId130"/>
      <w:pgSz w:w="11906" w:h="16838"/>
      <w:pgMar w:top="1701" w:right="1701" w:bottom="170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5A0" w:rsidRDefault="00C953F5">
      <w:pPr>
        <w:spacing w:after="0" w:line="240" w:lineRule="auto"/>
      </w:pPr>
      <w:r>
        <w:separator/>
      </w:r>
    </w:p>
  </w:endnote>
  <w:endnote w:type="continuationSeparator" w:id="0">
    <w:p w:rsidR="00E535A0" w:rsidRDefault="00C9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venir Book">
    <w:altName w:val="Corbel"/>
    <w:charset w:val="00"/>
    <w:family w:val="auto"/>
    <w:pitch w:val="variable"/>
    <w:sig w:usb0="00000001" w:usb1="5000204A" w:usb2="00000000" w:usb3="00000000" w:csb0="0000009B"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241062"/>
      <w:docPartObj>
        <w:docPartGallery w:val="Page Numbers (Bottom of Page)"/>
        <w:docPartUnique/>
      </w:docPartObj>
    </w:sdtPr>
    <w:sdtEndPr>
      <w:rPr>
        <w:noProof/>
      </w:rPr>
    </w:sdtEndPr>
    <w:sdtContent>
      <w:p w:rsidR="00E535A0" w:rsidRDefault="00C953F5">
        <w:pPr>
          <w:pStyle w:val="Fuzeile"/>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1</w:t>
        </w:r>
        <w:r>
          <w:rPr>
            <w:rFonts w:ascii="Times New Roman" w:hAnsi="Times New Roman" w:cs="Times New Roman"/>
            <w:noProof/>
            <w:sz w:val="24"/>
          </w:rPr>
          <w:fldChar w:fldCharType="end"/>
        </w:r>
      </w:p>
    </w:sdtContent>
  </w:sdt>
  <w:p w:rsidR="00E535A0" w:rsidRDefault="00E535A0">
    <w:pPr>
      <w:pStyle w:val="FooterCoverPage"/>
      <w:rPr>
        <w:rFonts w:ascii="Arial" w:hAnsi="Arial" w:cs="Arial"/>
        <w:b/>
        <w:sz w:val="4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402414"/>
      <w:docPartObj>
        <w:docPartGallery w:val="Page Numbers (Bottom of Page)"/>
        <w:docPartUnique/>
      </w:docPartObj>
    </w:sdtPr>
    <w:sdtEndPr>
      <w:rPr>
        <w:rFonts w:ascii="Times New Roman" w:hAnsi="Times New Roman" w:cs="Times New Roman"/>
        <w:noProof/>
        <w:sz w:val="24"/>
      </w:rPr>
    </w:sdtEndPr>
    <w:sdtContent>
      <w:p w:rsidR="00E535A0" w:rsidRDefault="00C953F5">
        <w:pPr>
          <w:pStyle w:val="Fuzeile"/>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157</w:t>
        </w:r>
        <w:r>
          <w:rPr>
            <w:rFonts w:ascii="Times New Roman" w:hAnsi="Times New Roman" w:cs="Times New Roman"/>
            <w:noProof/>
            <w:sz w:val="24"/>
          </w:rPr>
          <w:fldChar w:fldCharType="end"/>
        </w:r>
      </w:p>
    </w:sdtContent>
  </w:sdt>
  <w:p w:rsidR="00E535A0" w:rsidRDefault="00E535A0">
    <w:pPr>
      <w:pStyle w:val="Fuzeil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ooterLandscap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p w:rsidR="00E535A0" w:rsidRDefault="00E535A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73328532"/>
      <w:docPartObj>
        <w:docPartGallery w:val="Page Numbers (Bottom of Page)"/>
        <w:docPartUnique/>
      </w:docPartObj>
    </w:sdtPr>
    <w:sdtEndPr>
      <w:rPr>
        <w:noProof/>
      </w:rPr>
    </w:sdtEndPr>
    <w:sdtContent>
      <w:p w:rsidR="00E535A0" w:rsidRDefault="00C953F5">
        <w:pPr>
          <w:pStyle w:val="Fuzeile"/>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193</w:t>
        </w:r>
        <w:r>
          <w:rPr>
            <w:rFonts w:ascii="Times New Roman" w:hAnsi="Times New Roman" w:cs="Times New Roman"/>
            <w:noProof/>
            <w:sz w:val="24"/>
          </w:rPr>
          <w:fldChar w:fldCharType="end"/>
        </w:r>
      </w:p>
    </w:sdtContent>
  </w:sdt>
  <w:p w:rsidR="00E535A0" w:rsidRDefault="00E535A0">
    <w:pPr>
      <w:pStyle w:val="Fuzeile"/>
      <w:rPr>
        <w:rFonts w:ascii="Times New Roman" w:hAnsi="Times New Roman" w:cs="Times New Roman"/>
        <w:sz w:val="24"/>
      </w:rPr>
    </w:pPr>
  </w:p>
  <w:p w:rsidR="00E535A0" w:rsidRDefault="00E535A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p w:rsidR="00E535A0" w:rsidRDefault="00E535A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C953F5">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240466"/>
      <w:docPartObj>
        <w:docPartGallery w:val="Page Numbers (Bottom of Page)"/>
        <w:docPartUnique/>
      </w:docPartObj>
    </w:sdtPr>
    <w:sdtEndPr>
      <w:rPr>
        <w:noProof/>
      </w:rPr>
    </w:sdtEndPr>
    <w:sdtContent>
      <w:p w:rsidR="00E535A0" w:rsidRDefault="00C953F5">
        <w:pPr>
          <w:pStyle w:val="Fuzeile"/>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199</w:t>
        </w:r>
        <w:r>
          <w:rPr>
            <w:rFonts w:ascii="Times New Roman" w:hAnsi="Times New Roman" w:cs="Times New Roman"/>
            <w:noProof/>
            <w:sz w:val="24"/>
          </w:rPr>
          <w:fldChar w:fldCharType="end"/>
        </w:r>
      </w:p>
    </w:sdtContent>
  </w:sdt>
  <w:p w:rsidR="00E535A0" w:rsidRDefault="00E535A0">
    <w:pPr>
      <w:pStyle w:val="Fuzeil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ooterLandscap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917525"/>
      <w:docPartObj>
        <w:docPartGallery w:val="Page Numbers (Bottom of Page)"/>
        <w:docPartUnique/>
      </w:docPartObj>
    </w:sdtPr>
    <w:sdtEndPr>
      <w:rPr>
        <w:noProof/>
      </w:rPr>
    </w:sdtEndPr>
    <w:sdtContent>
      <w:p w:rsidR="00E535A0" w:rsidRDefault="00C953F5">
        <w:pPr>
          <w:pStyle w:val="Fuzeile"/>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202</w:t>
        </w:r>
        <w:r>
          <w:rPr>
            <w:rFonts w:ascii="Times New Roman" w:hAnsi="Times New Roman" w:cs="Times New Roman"/>
            <w:noProof/>
            <w:sz w:val="24"/>
          </w:rPr>
          <w:fldChar w:fldCharType="end"/>
        </w:r>
      </w:p>
    </w:sdtContent>
  </w:sdt>
  <w:p w:rsidR="00E535A0" w:rsidRDefault="00E535A0">
    <w:pPr>
      <w:pStyle w:val="Fuzeil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961932"/>
      <w:docPartObj>
        <w:docPartGallery w:val="Page Numbers (Bottom of Page)"/>
        <w:docPartUnique/>
      </w:docPartObj>
    </w:sdtPr>
    <w:sdtEndPr>
      <w:rPr>
        <w:noProof/>
      </w:rPr>
    </w:sdtEndPr>
    <w:sdtContent>
      <w:p w:rsidR="00E535A0" w:rsidRDefault="00C953F5">
        <w:pPr>
          <w:pStyle w:val="Fuzeile"/>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3</w:t>
        </w:r>
        <w:r>
          <w:rPr>
            <w:rFonts w:ascii="Times New Roman" w:hAnsi="Times New Roman" w:cs="Times New Roman"/>
            <w:noProof/>
            <w:sz w:val="24"/>
          </w:rPr>
          <w:fldChar w:fldCharType="end"/>
        </w:r>
      </w:p>
    </w:sdtContent>
  </w:sdt>
  <w:p w:rsidR="00E535A0" w:rsidRDefault="00E535A0">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09002"/>
      <w:docPartObj>
        <w:docPartGallery w:val="Page Numbers (Bottom of Page)"/>
        <w:docPartUnique/>
      </w:docPartObj>
    </w:sdtPr>
    <w:sdtEndPr>
      <w:rPr>
        <w:noProof/>
      </w:rPr>
    </w:sdtEndPr>
    <w:sdtContent>
      <w:p w:rsidR="00E535A0" w:rsidRDefault="00C953F5">
        <w:pPr>
          <w:pStyle w:val="Fuzeile"/>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3</w:t>
        </w:r>
        <w:r>
          <w:rPr>
            <w:rFonts w:ascii="Times New Roman" w:hAnsi="Times New Roman" w:cs="Times New Roman"/>
            <w:noProof/>
            <w:sz w:val="24"/>
          </w:rPr>
          <w:fldChar w:fldCharType="end"/>
        </w:r>
      </w:p>
    </w:sdtContent>
  </w:sdt>
  <w:p w:rsidR="00E535A0" w:rsidRDefault="00E535A0">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5A0" w:rsidRDefault="00C953F5">
      <w:pPr>
        <w:spacing w:after="0" w:line="240" w:lineRule="auto"/>
      </w:pPr>
      <w:r>
        <w:separator/>
      </w:r>
    </w:p>
  </w:footnote>
  <w:footnote w:type="continuationSeparator" w:id="0">
    <w:p w:rsidR="00E535A0" w:rsidRDefault="00C953F5">
      <w:pPr>
        <w:spacing w:after="0" w:line="240" w:lineRule="auto"/>
      </w:pPr>
      <w:r>
        <w:continuationSeparator/>
      </w:r>
    </w:p>
  </w:footnote>
  <w:footnote w:id="1">
    <w:p w:rsidR="00E535A0" w:rsidRDefault="00C953F5">
      <w:pPr>
        <w:pStyle w:val="Funotentext"/>
      </w:pPr>
      <w:r>
        <w:rPr>
          <w:rStyle w:val="Funotenzeichen"/>
        </w:rPr>
        <w:footnoteRef/>
      </w:r>
      <w:r>
        <w:t xml:space="preserve"> </w:t>
      </w:r>
      <w:r>
        <w:tab/>
      </w:r>
      <w:r>
        <w:rPr>
          <w:bCs/>
          <w:lang w:val="en-US"/>
        </w:rPr>
        <w:t xml:space="preserve">This analysis looked at </w:t>
      </w:r>
      <w:r>
        <w:rPr>
          <w:bCs/>
        </w:rPr>
        <w:t>263 projects in the LS and PE domains from 314 completed projects from the first two calls (</w:t>
      </w:r>
      <w:proofErr w:type="spellStart"/>
      <w:r>
        <w:rPr>
          <w:bCs/>
        </w:rPr>
        <w:t>StG</w:t>
      </w:r>
      <w:proofErr w:type="spellEnd"/>
      <w:r>
        <w:rPr>
          <w:bCs/>
        </w:rPr>
        <w:t xml:space="preserve"> 2007 and </w:t>
      </w:r>
      <w:proofErr w:type="spellStart"/>
      <w:r>
        <w:rPr>
          <w:bCs/>
        </w:rPr>
        <w:t>AdG</w:t>
      </w:r>
      <w:proofErr w:type="spellEnd"/>
      <w:r>
        <w:rPr>
          <w:bCs/>
        </w:rPr>
        <w:t xml:space="preserve"> 2008). It c</w:t>
      </w:r>
      <w:r>
        <w:t xml:space="preserve">ounted only those reported patents which ERC was able to validate in the database of the European Patent Office. There were no reported </w:t>
      </w:r>
      <w:r>
        <w:t>patents from the SH projects in this sample.</w:t>
      </w:r>
    </w:p>
    <w:p w:rsidR="00E535A0" w:rsidRDefault="00E535A0">
      <w:pPr>
        <w:pStyle w:val="Funotentext"/>
      </w:pPr>
    </w:p>
  </w:footnote>
  <w:footnote w:id="2">
    <w:p w:rsidR="00E535A0" w:rsidRDefault="00C953F5">
      <w:pPr>
        <w:pStyle w:val="Funotentext"/>
        <w:rPr>
          <w:lang w:val="fr-FR"/>
        </w:rPr>
      </w:pPr>
      <w:r>
        <w:rPr>
          <w:rStyle w:val="Funotenzeichen"/>
        </w:rPr>
        <w:footnoteRef/>
      </w:r>
      <w:r>
        <w:rPr>
          <w:lang w:val="fr-FR"/>
        </w:rPr>
        <w:t xml:space="preserve"> </w:t>
      </w:r>
      <w:r>
        <w:rPr>
          <w:lang w:val="fr-FR"/>
        </w:rPr>
        <w:tab/>
        <w:t>RR-1221-ERC, July 2015 by RAND Europe and Observatoire des sciences et des technologies (OST)</w:t>
      </w:r>
    </w:p>
  </w:footnote>
  <w:footnote w:id="3">
    <w:p w:rsidR="00E535A0" w:rsidRDefault="00C953F5">
      <w:pPr>
        <w:pStyle w:val="Funotentext"/>
        <w:rPr>
          <w:lang w:val="fr-FR"/>
        </w:rPr>
      </w:pPr>
      <w:r>
        <w:rPr>
          <w:rStyle w:val="Funotenzeichen"/>
        </w:rPr>
        <w:footnoteRef/>
      </w:r>
      <w:r>
        <w:rPr>
          <w:lang w:val="fr-FR"/>
        </w:rPr>
        <w:t xml:space="preserve"> </w:t>
      </w:r>
      <w:r>
        <w:rPr>
          <w:lang w:val="fr-FR"/>
        </w:rPr>
        <w:tab/>
      </w:r>
      <w:proofErr w:type="spellStart"/>
      <w:r>
        <w:rPr>
          <w:lang w:val="fr-FR"/>
        </w:rPr>
        <w:t>After</w:t>
      </w:r>
      <w:proofErr w:type="spellEnd"/>
      <w:r>
        <w:rPr>
          <w:lang w:val="fr-FR"/>
        </w:rPr>
        <w:t xml:space="preserve"> one call </w:t>
      </w:r>
      <w:proofErr w:type="spellStart"/>
      <w:r>
        <w:rPr>
          <w:lang w:val="fr-FR"/>
        </w:rPr>
        <w:t>in</w:t>
      </w:r>
      <w:proofErr w:type="spellEnd"/>
      <w:r>
        <w:rPr>
          <w:lang w:val="fr-FR"/>
        </w:rPr>
        <w:t xml:space="preserve"> 2013.</w:t>
      </w:r>
    </w:p>
  </w:footnote>
  <w:footnote w:id="4">
    <w:p w:rsidR="00E535A0" w:rsidRDefault="00C953F5">
      <w:pPr>
        <w:pStyle w:val="Funotentext"/>
        <w:rPr>
          <w:lang w:val="fr-FR"/>
        </w:rPr>
      </w:pPr>
      <w:r>
        <w:rPr>
          <w:rStyle w:val="Funotenzeichen"/>
        </w:rPr>
        <w:footnoteRef/>
      </w:r>
      <w:r>
        <w:rPr>
          <w:lang w:val="fr-FR"/>
        </w:rPr>
        <w:t xml:space="preserve"> </w:t>
      </w:r>
      <w:r>
        <w:rPr>
          <w:lang w:val="fr-FR"/>
        </w:rPr>
        <w:tab/>
        <w:t>CZ, DK, EE, FI, HR, HU, IE, LU, SE, SI, SK, UK.</w:t>
      </w:r>
    </w:p>
  </w:footnote>
  <w:footnote w:id="5">
    <w:p w:rsidR="00E535A0" w:rsidRDefault="00C953F5">
      <w:pPr>
        <w:pStyle w:val="Funotentext"/>
      </w:pPr>
      <w:r>
        <w:rPr>
          <w:rStyle w:val="Funotenzeichen"/>
        </w:rPr>
        <w:footnoteRef/>
      </w:r>
      <w:r>
        <w:t xml:space="preserve"> </w:t>
      </w:r>
      <w:r>
        <w:tab/>
      </w:r>
      <w:proofErr w:type="gramStart"/>
      <w:r>
        <w:t xml:space="preserve">All EU countries except CY, EL, </w:t>
      </w:r>
      <w:r>
        <w:t>ES, IT and MT.</w:t>
      </w:r>
      <w:proofErr w:type="gramEnd"/>
    </w:p>
  </w:footnote>
  <w:footnote w:id="6">
    <w:p w:rsidR="00E535A0" w:rsidRDefault="00C953F5">
      <w:pPr>
        <w:pStyle w:val="Funotentext"/>
      </w:pPr>
      <w:r>
        <w:rPr>
          <w:rStyle w:val="Funotenzeichen"/>
        </w:rPr>
        <w:footnoteRef/>
      </w:r>
      <w:r>
        <w:t xml:space="preserve"> </w:t>
      </w:r>
      <w:r>
        <w:tab/>
      </w:r>
      <w:proofErr w:type="gramStart"/>
      <w:r>
        <w:t>All EU countries except CY, EL, ES, IT and MT.</w:t>
      </w:r>
      <w:proofErr w:type="gramEnd"/>
      <w:r>
        <w:rPr>
          <w:bCs/>
        </w:rPr>
        <w:t xml:space="preserve"> In BG, PT and RO the scientific councils have an advisory role.</w:t>
      </w:r>
    </w:p>
  </w:footnote>
  <w:footnote w:id="7">
    <w:p w:rsidR="00E535A0" w:rsidRDefault="00C953F5">
      <w:pPr>
        <w:pStyle w:val="Funotentext"/>
      </w:pPr>
      <w:r>
        <w:rPr>
          <w:rStyle w:val="Funotenzeichen"/>
        </w:rPr>
        <w:footnoteRef/>
      </w:r>
      <w:r>
        <w:t xml:space="preserve"> </w:t>
      </w:r>
      <w:r>
        <w:tab/>
        <w:t>The “Fundamental Research Projects” launched by CY in 2009 and 2011, the “Researcher teams’ projects” of the LT Research Cou</w:t>
      </w:r>
      <w:r>
        <w:t>ncil and the ANR non-thematic schemes (FR) were most probably not inspired by ERC’s funding schemes.</w:t>
      </w:r>
    </w:p>
  </w:footnote>
  <w:footnote w:id="8">
    <w:p w:rsidR="00E535A0" w:rsidRDefault="00C953F5">
      <w:pPr>
        <w:pStyle w:val="Funotentext"/>
      </w:pPr>
      <w:r>
        <w:rPr>
          <w:rStyle w:val="Funotenzeichen"/>
        </w:rPr>
        <w:footnoteRef/>
      </w:r>
      <w:r>
        <w:t xml:space="preserve"> </w:t>
      </w:r>
      <w:r>
        <w:tab/>
        <w:t>At their request NCN was able on several occasions to receive support and advice from the ERC including training and observing the ERC procedures.</w:t>
      </w:r>
    </w:p>
  </w:footnote>
  <w:footnote w:id="9">
    <w:p w:rsidR="00E535A0" w:rsidRDefault="00C953F5">
      <w:pPr>
        <w:pStyle w:val="Funotentext"/>
        <w:rPr>
          <w:lang w:val="en"/>
        </w:rPr>
      </w:pPr>
      <w:r>
        <w:rPr>
          <w:rStyle w:val="Funotenzeichen"/>
        </w:rPr>
        <w:footnoteRef/>
      </w:r>
      <w:r>
        <w:t xml:space="preserve"> </w:t>
      </w:r>
      <w:r>
        <w:tab/>
        <w:t>Th</w:t>
      </w:r>
      <w:r>
        <w:t xml:space="preserve">e </w:t>
      </w:r>
      <w:r>
        <w:rPr>
          <w:bCs/>
          <w:lang w:val="en"/>
        </w:rPr>
        <w:t>Web of Science</w:t>
      </w:r>
      <w:r>
        <w:rPr>
          <w:lang w:val="en"/>
        </w:rPr>
        <w:t xml:space="preserve"> database maintained by Thomson Reuters covers around 12,000 peer-reviewed journals in the sciences, social sciences, arts, and humanities going back in some areas to the 19</w:t>
      </w:r>
      <w:r>
        <w:rPr>
          <w:vertAlign w:val="superscript"/>
          <w:lang w:val="en"/>
        </w:rPr>
        <w:t>th</w:t>
      </w:r>
      <w:r>
        <w:rPr>
          <w:lang w:val="en"/>
        </w:rPr>
        <w:t xml:space="preserve"> Century.</w:t>
      </w:r>
    </w:p>
    <w:p w:rsidR="00E535A0" w:rsidRDefault="00E535A0">
      <w:pPr>
        <w:pStyle w:val="Funotentext"/>
        <w:rPr>
          <w:lang w:val="en"/>
        </w:rPr>
      </w:pPr>
    </w:p>
  </w:footnote>
  <w:footnote w:id="10">
    <w:p w:rsidR="00E535A0" w:rsidRDefault="00C953F5">
      <w:pPr>
        <w:pStyle w:val="Funotentext"/>
      </w:pPr>
      <w:r>
        <w:rPr>
          <w:rStyle w:val="Funotenzeichen"/>
        </w:rPr>
        <w:footnoteRef/>
      </w:r>
      <w:r>
        <w:t xml:space="preserve"> </w:t>
      </w:r>
      <w:r>
        <w:tab/>
        <w:t>January to September 2014.</w:t>
      </w:r>
    </w:p>
  </w:footnote>
  <w:footnote w:id="11">
    <w:p w:rsidR="00E535A0" w:rsidRDefault="00C953F5">
      <w:pPr>
        <w:spacing w:after="0" w:line="240" w:lineRule="auto"/>
        <w:ind w:left="720" w:hanging="720"/>
        <w:rPr>
          <w:rFonts w:ascii="Times New Roman" w:hAnsi="Times New Roman" w:cs="Times New Roman"/>
          <w:bCs/>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bCs/>
          <w:sz w:val="20"/>
          <w:szCs w:val="20"/>
        </w:rPr>
        <w:t xml:space="preserve">Only those publications which were validated by a digital object identifier (DOI) and identified in the Scopus database are counted. This represents about 80 % of all publications which have been reported. The </w:t>
      </w:r>
      <w:r>
        <w:rPr>
          <w:rFonts w:ascii="Times New Roman" w:hAnsi="Times New Roman" w:cs="Times New Roman"/>
          <w:bCs/>
          <w:sz w:val="20"/>
          <w:szCs w:val="20"/>
          <w:lang w:val="en"/>
        </w:rPr>
        <w:t xml:space="preserve">Scopus database maintained by Elsevier covers </w:t>
      </w:r>
      <w:r>
        <w:rPr>
          <w:rFonts w:ascii="Times New Roman" w:hAnsi="Times New Roman" w:cs="Times New Roman"/>
          <w:bCs/>
          <w:sz w:val="20"/>
          <w:szCs w:val="20"/>
          <w:lang w:val="en"/>
        </w:rPr>
        <w:t>around 51 million records from 22,000 peer-reviewed journals “</w:t>
      </w:r>
      <w:r>
        <w:rPr>
          <w:rFonts w:ascii="Times New Roman" w:hAnsi="Times New Roman" w:cs="Times New Roman"/>
          <w:bCs/>
          <w:sz w:val="20"/>
          <w:szCs w:val="20"/>
        </w:rPr>
        <w:t>in the fields of science, technology, medicine, social sciences, and arts and humanities”</w:t>
      </w:r>
      <w:r>
        <w:rPr>
          <w:rFonts w:ascii="Times New Roman" w:hAnsi="Times New Roman" w:cs="Times New Roman"/>
          <w:bCs/>
          <w:sz w:val="20"/>
          <w:szCs w:val="20"/>
          <w:lang w:val="en"/>
        </w:rPr>
        <w:t xml:space="preserve"> going back to 1995.</w:t>
      </w:r>
    </w:p>
    <w:p w:rsidR="00E535A0" w:rsidRDefault="00E535A0">
      <w:pPr>
        <w:pStyle w:val="Funotentext"/>
      </w:pPr>
    </w:p>
  </w:footnote>
  <w:footnote w:id="12">
    <w:p w:rsidR="00E535A0" w:rsidRDefault="00C953F5">
      <w:pPr>
        <w:pStyle w:val="Funotentext"/>
      </w:pPr>
      <w:r>
        <w:rPr>
          <w:rStyle w:val="Funotenzeichen"/>
        </w:rPr>
        <w:footnoteRef/>
      </w:r>
      <w:r>
        <w:t xml:space="preserve"> </w:t>
      </w:r>
      <w:r>
        <w:tab/>
        <w:t xml:space="preserve">Out of the 10,796 publications reported by the 314 completed projects, 7003 (or </w:t>
      </w:r>
      <w:r>
        <w:t>64 %) were indexed in Scopus.</w:t>
      </w:r>
    </w:p>
  </w:footnote>
  <w:footnote w:id="13">
    <w:p w:rsidR="00E535A0" w:rsidRDefault="00C953F5">
      <w:pPr>
        <w:pStyle w:val="Funotentext"/>
      </w:pPr>
      <w:r>
        <w:rPr>
          <w:rStyle w:val="Funotenzeichen"/>
        </w:rPr>
        <w:footnoteRef/>
      </w:r>
      <w:r>
        <w:t xml:space="preserve"> </w:t>
      </w:r>
      <w:r>
        <w:tab/>
      </w:r>
      <w:proofErr w:type="gramStart"/>
      <w:r>
        <w:t xml:space="preserve">For publication window </w:t>
      </w:r>
      <w:r>
        <w:rPr>
          <w:bCs/>
        </w:rPr>
        <w:t>2008-2010</w:t>
      </w:r>
      <w:r>
        <w:t xml:space="preserve"> and cited in 2012.</w:t>
      </w:r>
      <w:proofErr w:type="gramEnd"/>
      <w:r>
        <w:t xml:space="preserve"> </w:t>
      </w:r>
      <w:proofErr w:type="gramStart"/>
      <w:r>
        <w:t>Using full counting method.</w:t>
      </w:r>
      <w:proofErr w:type="gramEnd"/>
    </w:p>
  </w:footnote>
  <w:footnote w:id="14">
    <w:p w:rsidR="00E535A0" w:rsidRDefault="00C953F5">
      <w:pPr>
        <w:pStyle w:val="Funotentext"/>
      </w:pPr>
      <w:r>
        <w:rPr>
          <w:rStyle w:val="Funotenzeichen"/>
        </w:rPr>
        <w:footnoteRef/>
      </w:r>
      <w:r>
        <w:t xml:space="preserve"> </w:t>
      </w:r>
      <w:r>
        <w:tab/>
      </w:r>
      <w:proofErr w:type="spellStart"/>
      <w:proofErr w:type="gramStart"/>
      <w:r>
        <w:t>Lotka</w:t>
      </w:r>
      <w:proofErr w:type="spellEnd"/>
      <w:r>
        <w:t>, A. 1926.</w:t>
      </w:r>
      <w:proofErr w:type="gramEnd"/>
      <w:r>
        <w:t xml:space="preserve"> </w:t>
      </w:r>
      <w:proofErr w:type="gramStart"/>
      <w:r>
        <w:t>The frequency distribution of scientific productivity</w:t>
      </w:r>
      <w:r>
        <w:rPr>
          <w:i/>
        </w:rPr>
        <w:t>.</w:t>
      </w:r>
      <w:proofErr w:type="gramEnd"/>
      <w:r>
        <w:rPr>
          <w:i/>
        </w:rPr>
        <w:t xml:space="preserve"> </w:t>
      </w:r>
      <w:proofErr w:type="gramStart"/>
      <w:r>
        <w:rPr>
          <w:i/>
        </w:rPr>
        <w:t>Journal of the Washington Academy of Sciences</w:t>
      </w:r>
      <w:r>
        <w:t>.</w:t>
      </w:r>
      <w:proofErr w:type="gramEnd"/>
      <w:r>
        <w:t xml:space="preserve"> </w:t>
      </w:r>
      <w:proofErr w:type="gramStart"/>
      <w:r>
        <w:t>16(12), pp.317–324.</w:t>
      </w:r>
      <w:proofErr w:type="gramEnd"/>
    </w:p>
  </w:footnote>
  <w:footnote w:id="15">
    <w:p w:rsidR="00E535A0" w:rsidRDefault="00C953F5">
      <w:pPr>
        <w:pStyle w:val="Default"/>
        <w:ind w:left="720" w:hanging="720"/>
        <w:jc w:val="both"/>
        <w:rPr>
          <w:rFonts w:ascii="Times New Roman" w:hAnsi="Times New Roman" w:cs="Times New Roman"/>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May-Britt Moser </w:t>
      </w:r>
      <w:proofErr w:type="spellStart"/>
      <w:r>
        <w:rPr>
          <w:rFonts w:ascii="Times New Roman" w:hAnsi="Times New Roman" w:cs="Times New Roman"/>
          <w:b/>
          <w:sz w:val="20"/>
          <w:szCs w:val="20"/>
        </w:rPr>
        <w:t>AdG</w:t>
      </w:r>
      <w:proofErr w:type="spellEnd"/>
      <w:r>
        <w:rPr>
          <w:rFonts w:ascii="Times New Roman" w:hAnsi="Times New Roman" w:cs="Times New Roman"/>
          <w:b/>
          <w:sz w:val="20"/>
          <w:szCs w:val="20"/>
        </w:rPr>
        <w:t xml:space="preserve"> 2010</w:t>
      </w:r>
      <w:r>
        <w:rPr>
          <w:rFonts w:ascii="Times New Roman" w:hAnsi="Times New Roman" w:cs="Times New Roman"/>
          <w:sz w:val="20"/>
          <w:szCs w:val="20"/>
        </w:rPr>
        <w:t xml:space="preserve"> (Physiology or Medicine 2014); </w:t>
      </w:r>
      <w:proofErr w:type="spellStart"/>
      <w:r>
        <w:rPr>
          <w:rFonts w:ascii="Times New Roman" w:hAnsi="Times New Roman" w:cs="Times New Roman"/>
          <w:sz w:val="20"/>
          <w:szCs w:val="20"/>
        </w:rPr>
        <w:t>Edvard</w:t>
      </w:r>
      <w:proofErr w:type="spellEnd"/>
      <w:r>
        <w:rPr>
          <w:rFonts w:ascii="Times New Roman" w:hAnsi="Times New Roman" w:cs="Times New Roman"/>
          <w:sz w:val="20"/>
          <w:szCs w:val="20"/>
        </w:rPr>
        <w:t xml:space="preserve"> Moser </w:t>
      </w:r>
      <w:proofErr w:type="spellStart"/>
      <w:r>
        <w:rPr>
          <w:rFonts w:ascii="Times New Roman" w:hAnsi="Times New Roman" w:cs="Times New Roman"/>
          <w:b/>
          <w:sz w:val="20"/>
          <w:szCs w:val="20"/>
        </w:rPr>
        <w:t>AdG</w:t>
      </w:r>
      <w:proofErr w:type="spellEnd"/>
      <w:r>
        <w:rPr>
          <w:rFonts w:ascii="Times New Roman" w:hAnsi="Times New Roman" w:cs="Times New Roman"/>
          <w:b/>
          <w:sz w:val="20"/>
          <w:szCs w:val="20"/>
        </w:rPr>
        <w:t xml:space="preserve"> 2008 </w:t>
      </w:r>
      <w:r>
        <w:rPr>
          <w:rFonts w:ascii="Times New Roman" w:hAnsi="Times New Roman" w:cs="Times New Roman"/>
          <w:sz w:val="20"/>
          <w:szCs w:val="20"/>
        </w:rPr>
        <w:t xml:space="preserve">and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2013 (Physiology or Medicine 2014); Jean </w:t>
      </w:r>
      <w:proofErr w:type="spellStart"/>
      <w:r>
        <w:rPr>
          <w:rFonts w:ascii="Times New Roman" w:hAnsi="Times New Roman" w:cs="Times New Roman"/>
          <w:sz w:val="20"/>
          <w:szCs w:val="20"/>
        </w:rPr>
        <w:t>Tirole</w:t>
      </w:r>
      <w:proofErr w:type="spellEnd"/>
      <w:r>
        <w:rPr>
          <w:rFonts w:ascii="Times New Roman" w:hAnsi="Times New Roman" w:cs="Times New Roman"/>
          <w:sz w:val="20"/>
          <w:szCs w:val="20"/>
        </w:rPr>
        <w:t xml:space="preserve"> </w:t>
      </w:r>
      <w:proofErr w:type="spellStart"/>
      <w:r>
        <w:rPr>
          <w:rFonts w:ascii="Times New Roman" w:hAnsi="Times New Roman" w:cs="Times New Roman"/>
          <w:b/>
          <w:sz w:val="20"/>
          <w:szCs w:val="20"/>
        </w:rPr>
        <w:t>AdG</w:t>
      </w:r>
      <w:proofErr w:type="spellEnd"/>
      <w:r>
        <w:rPr>
          <w:rFonts w:ascii="Times New Roman" w:hAnsi="Times New Roman" w:cs="Times New Roman"/>
          <w:b/>
          <w:sz w:val="20"/>
          <w:szCs w:val="20"/>
        </w:rPr>
        <w:t xml:space="preserve"> 2009</w:t>
      </w:r>
      <w:r>
        <w:rPr>
          <w:rFonts w:ascii="Times New Roman" w:hAnsi="Times New Roman" w:cs="Times New Roman"/>
          <w:sz w:val="20"/>
          <w:szCs w:val="20"/>
        </w:rPr>
        <w:t xml:space="preserve"> (Economics 2014); Serge </w:t>
      </w:r>
      <w:proofErr w:type="spellStart"/>
      <w:r>
        <w:rPr>
          <w:rFonts w:ascii="Times New Roman" w:hAnsi="Times New Roman" w:cs="Times New Roman"/>
          <w:sz w:val="20"/>
          <w:szCs w:val="20"/>
        </w:rPr>
        <w:t>Haroche</w:t>
      </w:r>
      <w:proofErr w:type="spellEnd"/>
      <w:r>
        <w:rPr>
          <w:rFonts w:ascii="Times New Roman" w:hAnsi="Times New Roman" w:cs="Times New Roman"/>
          <w:sz w:val="20"/>
          <w:szCs w:val="20"/>
        </w:rPr>
        <w:t xml:space="preserve"> </w:t>
      </w:r>
      <w:proofErr w:type="spellStart"/>
      <w:r>
        <w:rPr>
          <w:rFonts w:ascii="Times New Roman" w:hAnsi="Times New Roman" w:cs="Times New Roman"/>
          <w:b/>
          <w:sz w:val="20"/>
          <w:szCs w:val="20"/>
        </w:rPr>
        <w:t>AdG</w:t>
      </w:r>
      <w:proofErr w:type="spellEnd"/>
      <w:r>
        <w:rPr>
          <w:rFonts w:ascii="Times New Roman" w:hAnsi="Times New Roman" w:cs="Times New Roman"/>
          <w:b/>
          <w:sz w:val="20"/>
          <w:szCs w:val="20"/>
        </w:rPr>
        <w:t xml:space="preserve"> 2009</w:t>
      </w:r>
      <w:r>
        <w:rPr>
          <w:rFonts w:ascii="Times New Roman" w:hAnsi="Times New Roman" w:cs="Times New Roman"/>
          <w:sz w:val="20"/>
          <w:szCs w:val="20"/>
        </w:rPr>
        <w:t xml:space="preserve"> (Physics 2012); Konstantin </w:t>
      </w:r>
      <w:proofErr w:type="spellStart"/>
      <w:r>
        <w:rPr>
          <w:rFonts w:ascii="Times New Roman" w:hAnsi="Times New Roman" w:cs="Times New Roman"/>
          <w:sz w:val="20"/>
          <w:szCs w:val="20"/>
        </w:rPr>
        <w:t>Novoselov</w:t>
      </w:r>
      <w:proofErr w:type="spellEnd"/>
      <w:r>
        <w:rPr>
          <w:rFonts w:ascii="Times New Roman" w:hAnsi="Times New Roman" w:cs="Times New Roman"/>
          <w:sz w:val="20"/>
          <w:szCs w:val="20"/>
        </w:rPr>
        <w:t xml:space="preserve"> </w:t>
      </w:r>
      <w:proofErr w:type="spellStart"/>
      <w:r>
        <w:rPr>
          <w:rFonts w:ascii="Times New Roman" w:hAnsi="Times New Roman" w:cs="Times New Roman"/>
          <w:b/>
          <w:sz w:val="20"/>
          <w:szCs w:val="20"/>
        </w:rPr>
        <w:t>StG</w:t>
      </w:r>
      <w:proofErr w:type="spellEnd"/>
      <w:r>
        <w:rPr>
          <w:rFonts w:ascii="Times New Roman" w:hAnsi="Times New Roman" w:cs="Times New Roman"/>
          <w:b/>
          <w:sz w:val="20"/>
          <w:szCs w:val="20"/>
        </w:rPr>
        <w:t xml:space="preserve"> 2007</w:t>
      </w:r>
      <w:r>
        <w:rPr>
          <w:rFonts w:ascii="Times New Roman" w:hAnsi="Times New Roman" w:cs="Times New Roman"/>
          <w:sz w:val="20"/>
          <w:szCs w:val="20"/>
        </w:rPr>
        <w:t xml:space="preserve"> and </w:t>
      </w:r>
      <w:proofErr w:type="spellStart"/>
      <w:r>
        <w:rPr>
          <w:rFonts w:ascii="Times New Roman" w:hAnsi="Times New Roman" w:cs="Times New Roman"/>
          <w:sz w:val="20"/>
          <w:szCs w:val="20"/>
        </w:rPr>
        <w:t>SyG</w:t>
      </w:r>
      <w:proofErr w:type="spellEnd"/>
      <w:r>
        <w:rPr>
          <w:rFonts w:ascii="Times New Roman" w:hAnsi="Times New Roman" w:cs="Times New Roman"/>
          <w:sz w:val="20"/>
          <w:szCs w:val="20"/>
        </w:rPr>
        <w:t xml:space="preserve"> 2012 (Physics 201</w:t>
      </w:r>
      <w:r>
        <w:rPr>
          <w:rFonts w:ascii="Times New Roman" w:hAnsi="Times New Roman" w:cs="Times New Roman"/>
          <w:sz w:val="20"/>
          <w:szCs w:val="20"/>
        </w:rPr>
        <w:t xml:space="preserve">0); as well as Ada </w:t>
      </w:r>
      <w:proofErr w:type="spellStart"/>
      <w:r>
        <w:rPr>
          <w:rFonts w:ascii="Times New Roman" w:hAnsi="Times New Roman" w:cs="Times New Roman"/>
          <w:sz w:val="20"/>
          <w:szCs w:val="20"/>
        </w:rPr>
        <w:t>Yonath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2012 (Chemistry 2009); Andre </w:t>
      </w:r>
      <w:proofErr w:type="spellStart"/>
      <w:r>
        <w:rPr>
          <w:rFonts w:ascii="Times New Roman" w:hAnsi="Times New Roman" w:cs="Times New Roman"/>
          <w:sz w:val="20"/>
          <w:szCs w:val="20"/>
        </w:rPr>
        <w:t>Geim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2012 (Physics 2010); Christopher </w:t>
      </w:r>
      <w:proofErr w:type="spellStart"/>
      <w:r>
        <w:rPr>
          <w:rFonts w:ascii="Times New Roman" w:hAnsi="Times New Roman" w:cs="Times New Roman"/>
          <w:sz w:val="20"/>
          <w:szCs w:val="20"/>
        </w:rPr>
        <w:t>Pissarides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2012 (Economics 2010);  Jean-Marie Lehn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2011 (Chemistry 1987) James Heckman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2010 (Economics 2000); Theodor </w:t>
      </w:r>
      <w:proofErr w:type="spellStart"/>
      <w:r>
        <w:rPr>
          <w:rFonts w:ascii="Times New Roman" w:hAnsi="Times New Roman" w:cs="Times New Roman"/>
          <w:sz w:val="20"/>
          <w:szCs w:val="20"/>
        </w:rPr>
        <w:t>Hänsch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AdG</w:t>
      </w:r>
      <w:proofErr w:type="spellEnd"/>
      <w:r>
        <w:rPr>
          <w:rFonts w:ascii="Times New Roman" w:hAnsi="Times New Roman" w:cs="Times New Roman"/>
          <w:sz w:val="20"/>
          <w:szCs w:val="20"/>
        </w:rPr>
        <w:t xml:space="preserve"> 2010 (Physics </w:t>
      </w:r>
      <w:r>
        <w:rPr>
          <w:rFonts w:ascii="Times New Roman" w:hAnsi="Times New Roman" w:cs="Times New Roman"/>
          <w:sz w:val="20"/>
          <w:szCs w:val="20"/>
        </w:rPr>
        <w:t>2005).</w:t>
      </w:r>
    </w:p>
  </w:footnote>
  <w:footnote w:id="16">
    <w:p w:rsidR="00E535A0" w:rsidRDefault="00C953F5">
      <w:pPr>
        <w:pStyle w:val="Funotentext"/>
      </w:pPr>
      <w:r>
        <w:rPr>
          <w:rStyle w:val="Funotenzeichen"/>
        </w:rPr>
        <w:footnoteRef/>
      </w:r>
      <w:r>
        <w:t xml:space="preserve"> </w:t>
      </w:r>
      <w:r>
        <w:tab/>
      </w:r>
      <w:r>
        <w:rPr>
          <w:i/>
        </w:rPr>
        <w:t>“</w:t>
      </w:r>
      <w:r>
        <w:rPr>
          <w:bCs/>
          <w:i/>
        </w:rPr>
        <w:t>Two Fields Medals 2014 awarded to ERC laureates”</w:t>
      </w:r>
      <w:r>
        <w:rPr>
          <w:bCs/>
        </w:rPr>
        <w:t xml:space="preserve">, August 2014: </w:t>
      </w:r>
      <w:hyperlink r:id="rId1" w:history="1">
        <w:r>
          <w:rPr>
            <w:rStyle w:val="Hyperlink"/>
          </w:rPr>
          <w:t>http://erc.europa.eu/sites/default/files/press_release/files/ERC_Press_Rel</w:t>
        </w:r>
        <w:r>
          <w:rPr>
            <w:rStyle w:val="Hyperlink"/>
          </w:rPr>
          <w:t>ease_ICM_2014.pdf</w:t>
        </w:r>
      </w:hyperlink>
    </w:p>
  </w:footnote>
  <w:footnote w:id="17">
    <w:p w:rsidR="00E535A0" w:rsidRDefault="00C953F5">
      <w:pPr>
        <w:pStyle w:val="Funotentext"/>
      </w:pPr>
      <w:r>
        <w:rPr>
          <w:rStyle w:val="Funotenzeichen"/>
        </w:rPr>
        <w:footnoteRef/>
      </w:r>
      <w:r>
        <w:t xml:space="preserve"> </w:t>
      </w:r>
      <w:r>
        <w:tab/>
        <w:t>MERCI - monitoring ERC's implementation of excellence.</w:t>
      </w:r>
    </w:p>
    <w:p w:rsidR="00E535A0" w:rsidRDefault="00C953F5">
      <w:pPr>
        <w:pStyle w:val="Funotentext"/>
        <w:ind w:firstLine="0"/>
      </w:pPr>
      <w:hyperlink r:id="rId2" w:history="1">
        <w:r>
          <w:rPr>
            <w:rStyle w:val="Hyperlink"/>
          </w:rPr>
          <w:t>http://www.research-information.de/Projekte/Merci/projekte_merci_lang.asp</w:t>
        </w:r>
      </w:hyperlink>
    </w:p>
  </w:footnote>
  <w:footnote w:id="18">
    <w:p w:rsidR="00E535A0" w:rsidRDefault="00C953F5">
      <w:pPr>
        <w:pStyle w:val="Funotentext"/>
      </w:pPr>
      <w:r>
        <w:rPr>
          <w:rStyle w:val="Funotenzeichen"/>
        </w:rPr>
        <w:footnoteRef/>
      </w:r>
      <w:r>
        <w:t xml:space="preserve"> </w:t>
      </w:r>
      <w:r>
        <w:tab/>
      </w:r>
      <w:proofErr w:type="gramStart"/>
      <w:r>
        <w:rPr>
          <w:bCs/>
        </w:rPr>
        <w:t>Based on a su</w:t>
      </w:r>
      <w:r>
        <w:rPr>
          <w:bCs/>
        </w:rPr>
        <w:t>rvey which took place on average around four years into the ERC grant of each respondent.</w:t>
      </w:r>
      <w:proofErr w:type="gramEnd"/>
    </w:p>
  </w:footnote>
  <w:footnote w:id="19">
    <w:p w:rsidR="00E535A0" w:rsidRDefault="00C953F5">
      <w:pPr>
        <w:pStyle w:val="Funotentext"/>
        <w:rPr>
          <w:b/>
        </w:rPr>
      </w:pPr>
      <w:r>
        <w:rPr>
          <w:rStyle w:val="Funotenzeichen"/>
        </w:rPr>
        <w:footnoteRef/>
      </w:r>
      <w:r>
        <w:t xml:space="preserve"> </w:t>
      </w:r>
      <w:r>
        <w:tab/>
        <w:t>EURECIA - understanding and assessing the impact and outcomes of the ERC funding schemes.</w:t>
      </w:r>
      <w:r>
        <w:rPr>
          <w:rFonts w:eastAsia="Calibri"/>
        </w:rPr>
        <w:t xml:space="preserve"> </w:t>
      </w:r>
      <w:hyperlink r:id="rId3" w:history="1">
        <w:r>
          <w:rPr>
            <w:rStyle w:val="Hyperlink"/>
          </w:rPr>
          <w:t>www.eurecia-erc.net</w:t>
        </w:r>
      </w:hyperlink>
    </w:p>
    <w:p w:rsidR="00E535A0" w:rsidRDefault="00E535A0">
      <w:pPr>
        <w:pStyle w:val="Funotentext"/>
      </w:pPr>
    </w:p>
  </w:footnote>
  <w:footnote w:id="20">
    <w:p w:rsidR="00E535A0" w:rsidRDefault="00C953F5">
      <w:pPr>
        <w:pStyle w:val="Funotentext"/>
      </w:pPr>
      <w:r>
        <w:rPr>
          <w:rStyle w:val="Funotenzeichen"/>
        </w:rPr>
        <w:footnoteRef/>
      </w:r>
      <w:r>
        <w:t xml:space="preserve"> </w:t>
      </w:r>
      <w:r>
        <w:tab/>
      </w:r>
      <w:r>
        <w:t xml:space="preserve">See the ERC Scientific Council Statement on Open Access of December 2006, and the Open Access Guidelines for researchers funded by the ERC (latest version: December 2014). </w:t>
      </w:r>
      <w:r>
        <w:rPr>
          <w:lang w:val="en"/>
        </w:rPr>
        <w:t>Starting with the WP 2012 a Special Clause on Open Access has been systematically in</w:t>
      </w:r>
      <w:r>
        <w:rPr>
          <w:lang w:val="en"/>
        </w:rPr>
        <w:t>cluded in all Grant Agreements for ERC Frontier Research Grants.</w:t>
      </w:r>
    </w:p>
    <w:p w:rsidR="00E535A0" w:rsidRDefault="00E535A0">
      <w:pPr>
        <w:pStyle w:val="Funotentext"/>
      </w:pPr>
    </w:p>
  </w:footnote>
  <w:footnote w:id="21">
    <w:p w:rsidR="00E535A0" w:rsidRDefault="00C953F5">
      <w:pPr>
        <w:autoSpaceDE w:val="0"/>
        <w:autoSpaceDN w:val="0"/>
        <w:adjustRightInd w:val="0"/>
        <w:spacing w:after="0"/>
        <w:rPr>
          <w:sz w:val="20"/>
          <w:szCs w:val="20"/>
        </w:rPr>
      </w:pPr>
      <w:r>
        <w:rPr>
          <w:rStyle w:val="Funotenzeichen"/>
          <w:sz w:val="20"/>
          <w:szCs w:val="20"/>
        </w:rPr>
        <w:footnoteRef/>
      </w:r>
      <w:r>
        <w:rPr>
          <w:sz w:val="20"/>
          <w:szCs w:val="20"/>
        </w:rPr>
        <w:t xml:space="preserve"> </w:t>
      </w:r>
      <w:r>
        <w:rPr>
          <w:sz w:val="20"/>
          <w:szCs w:val="20"/>
        </w:rPr>
        <w:tab/>
      </w:r>
      <w:hyperlink r:id="rId4" w:history="1">
        <w:proofErr w:type="gramStart"/>
        <w:r>
          <w:rPr>
            <w:rStyle w:val="Hyperlink"/>
            <w:i/>
            <w:sz w:val="20"/>
            <w:szCs w:val="20"/>
          </w:rPr>
          <w:t>Review of the European Research Council’s Structures and Mechanisms</w:t>
        </w:r>
      </w:hyperlink>
      <w:r>
        <w:rPr>
          <w:sz w:val="20"/>
          <w:szCs w:val="20"/>
        </w:rPr>
        <w:t xml:space="preserve"> (July 2009).</w:t>
      </w:r>
      <w:proofErr w:type="gramEnd"/>
    </w:p>
    <w:p w:rsidR="00E535A0" w:rsidRDefault="00E535A0">
      <w:pPr>
        <w:autoSpaceDE w:val="0"/>
        <w:autoSpaceDN w:val="0"/>
        <w:adjustRightInd w:val="0"/>
        <w:spacing w:after="0"/>
        <w:rPr>
          <w:sz w:val="20"/>
          <w:szCs w:val="20"/>
        </w:rPr>
      </w:pPr>
    </w:p>
  </w:footnote>
  <w:footnote w:id="22">
    <w:p w:rsidR="00E535A0" w:rsidRDefault="00C953F5">
      <w:pPr>
        <w:pStyle w:val="Funotentext"/>
      </w:pPr>
      <w:r>
        <w:rPr>
          <w:rStyle w:val="Funotenzeichen"/>
        </w:rPr>
        <w:footnoteRef/>
      </w:r>
      <w:r>
        <w:t xml:space="preserve"> </w:t>
      </w:r>
      <w:r>
        <w:tab/>
      </w:r>
      <w:proofErr w:type="gramStart"/>
      <w:r>
        <w:t xml:space="preserve">Based on survey of </w:t>
      </w:r>
      <w:proofErr w:type="spellStart"/>
      <w:r>
        <w:t>StG</w:t>
      </w:r>
      <w:proofErr w:type="spellEnd"/>
      <w:r>
        <w:t xml:space="preserve"> 2007 grantees </w:t>
      </w:r>
      <w:r>
        <w:t>by EURECIA project (understanding and assessing the impact and outcomes of the ERC funding schemes).</w:t>
      </w:r>
      <w:proofErr w:type="gramEnd"/>
      <w:r>
        <w:t xml:space="preserve"> </w:t>
      </w:r>
      <w:hyperlink r:id="rId5" w:history="1">
        <w:r>
          <w:rPr>
            <w:rStyle w:val="Hyperlink"/>
          </w:rPr>
          <w:t>www.eurecia-erc.net</w:t>
        </w:r>
      </w:hyperlink>
    </w:p>
  </w:footnote>
  <w:footnote w:id="23">
    <w:p w:rsidR="00E535A0" w:rsidRDefault="00C953F5">
      <w:pPr>
        <w:autoSpaceDE w:val="0"/>
        <w:autoSpaceDN w:val="0"/>
        <w:adjustRightInd w:val="0"/>
        <w:spacing w:after="0"/>
        <w:ind w:left="720" w:hanging="720"/>
        <w:rPr>
          <w:rFonts w:ascii="Times New Roman" w:hAnsi="Times New Roman" w:cs="Times New Roman"/>
          <w:color w:val="000000"/>
          <w:sz w:val="20"/>
          <w:szCs w:val="20"/>
        </w:rPr>
      </w:pPr>
      <w:r>
        <w:rPr>
          <w:rStyle w:val="Funotenzeichen"/>
          <w:rFonts w:ascii="Times New Roman" w:hAnsi="Times New Roman" w:cs="Times New Roman"/>
          <w:sz w:val="20"/>
          <w:szCs w:val="20"/>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t>Final report</w:t>
      </w:r>
      <w:r>
        <w:rPr>
          <w:rFonts w:ascii="Times New Roman" w:hAnsi="Times New Roman" w:cs="Times New Roman"/>
          <w:sz w:val="20"/>
          <w:szCs w:val="20"/>
        </w:rPr>
        <w:t xml:space="preserve"> </w:t>
      </w:r>
      <w:r>
        <w:rPr>
          <w:rFonts w:ascii="Times New Roman" w:hAnsi="Times New Roman" w:cs="Times New Roman"/>
          <w:color w:val="000000"/>
          <w:sz w:val="20"/>
          <w:szCs w:val="20"/>
        </w:rPr>
        <w:t>Evaluation of Pertinence and Impact of Research Infrastructure Activity in F</w:t>
      </w:r>
      <w:r>
        <w:rPr>
          <w:rFonts w:ascii="Times New Roman" w:hAnsi="Times New Roman" w:cs="Times New Roman"/>
          <w:color w:val="000000"/>
          <w:sz w:val="20"/>
          <w:szCs w:val="20"/>
        </w:rPr>
        <w:t>P7 EPIRIA</w:t>
      </w:r>
    </w:p>
  </w:footnote>
  <w:footnote w:id="24">
    <w:p w:rsidR="00E535A0" w:rsidRDefault="00C953F5">
      <w:pPr>
        <w:autoSpaceDE w:val="0"/>
        <w:autoSpaceDN w:val="0"/>
        <w:adjustRightInd w:val="0"/>
        <w:spacing w:after="0"/>
        <w:ind w:left="720" w:hanging="720"/>
        <w:rPr>
          <w:rFonts w:ascii="Times New Roman" w:hAnsi="Times New Roman" w:cs="Times New Roman"/>
          <w:color w:val="000000"/>
          <w:sz w:val="20"/>
          <w:szCs w:val="20"/>
        </w:rPr>
      </w:pPr>
      <w:r>
        <w:rPr>
          <w:rStyle w:val="Funotenzeichen"/>
          <w:rFonts w:ascii="Times New Roman" w:hAnsi="Times New Roman" w:cs="Times New Roman"/>
          <w:sz w:val="20"/>
          <w:szCs w:val="20"/>
        </w:rPr>
        <w:footnoteRef/>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ab/>
        <w:t>Final report</w:t>
      </w:r>
      <w:r>
        <w:rPr>
          <w:rFonts w:ascii="Times New Roman" w:hAnsi="Times New Roman" w:cs="Times New Roman"/>
          <w:sz w:val="20"/>
          <w:szCs w:val="20"/>
        </w:rPr>
        <w:t xml:space="preserve"> </w:t>
      </w:r>
      <w:r>
        <w:rPr>
          <w:rFonts w:ascii="Times New Roman" w:hAnsi="Times New Roman" w:cs="Times New Roman"/>
          <w:color w:val="000000"/>
          <w:sz w:val="20"/>
          <w:szCs w:val="20"/>
        </w:rPr>
        <w:t>Evaluation of Pertinence and Impact of Research Infrastructure Activity in FP7 EPIRIA</w:t>
      </w:r>
    </w:p>
    <w:p w:rsidR="00E535A0" w:rsidRDefault="00C953F5">
      <w:pPr>
        <w:pStyle w:val="Funotentext"/>
      </w:pPr>
      <w:r>
        <w:t xml:space="preserve"> </w:t>
      </w:r>
    </w:p>
  </w:footnote>
  <w:footnote w:id="25">
    <w:p w:rsidR="00E535A0" w:rsidRDefault="00C953F5">
      <w:pPr>
        <w:pStyle w:val="Funotentext"/>
      </w:pPr>
      <w:r>
        <w:rPr>
          <w:rStyle w:val="Funotenzeichen"/>
        </w:rPr>
        <w:footnoteRef/>
      </w:r>
      <w:r>
        <w:t xml:space="preserve"> </w:t>
      </w:r>
      <w:r>
        <w:tab/>
        <w:t xml:space="preserve">Please also see </w:t>
      </w:r>
      <w:proofErr w:type="spellStart"/>
      <w:r>
        <w:t>eInfrastructure</w:t>
      </w:r>
      <w:proofErr w:type="spellEnd"/>
      <w:r>
        <w:t xml:space="preserve"> Policy Forum (http://www.euroris-net.eu/e-IPF) and Digital ERA forum (http://e-irg.eu/documents/10920/23941</w:t>
      </w:r>
      <w:r>
        <w:t>6/RelatedPolicyGroups.pdf)</w:t>
      </w:r>
    </w:p>
  </w:footnote>
  <w:footnote w:id="26">
    <w:p w:rsidR="00E535A0" w:rsidRDefault="00C953F5">
      <w:pPr>
        <w:pStyle w:val="Textkrper"/>
        <w:spacing w:after="0" w:line="240" w:lineRule="auto"/>
        <w:rPr>
          <w:rFonts w:ascii="Times New Roman" w:hAnsi="Times New Roman"/>
          <w:sz w:val="20"/>
          <w:szCs w:val="20"/>
          <w:lang w:val="en-GB"/>
        </w:rPr>
      </w:pPr>
      <w:r>
        <w:rPr>
          <w:rStyle w:val="Funotenzeichen"/>
          <w:rFonts w:ascii="Times New Roman" w:hAnsi="Times New Roman"/>
          <w:sz w:val="20"/>
          <w:szCs w:val="20"/>
        </w:rPr>
        <w:footnoteRef/>
      </w:r>
      <w:proofErr w:type="gramStart"/>
      <w:r>
        <w:rPr>
          <w:rFonts w:ascii="Times New Roman" w:hAnsi="Times New Roman"/>
          <w:color w:val="000000"/>
          <w:sz w:val="20"/>
          <w:szCs w:val="20"/>
          <w:lang w:val="en-GB" w:eastAsia="en-GB"/>
        </w:rPr>
        <w:t>Was established in 2002, bringing together representatives of the EU Member States and associated countries, appointed by Ministers in charge of Research, and a representative of the European Commission.</w:t>
      </w:r>
      <w:proofErr w:type="gramEnd"/>
      <w:r>
        <w:rPr>
          <w:rFonts w:ascii="Times New Roman" w:hAnsi="Times New Roman"/>
          <w:color w:val="000000"/>
          <w:sz w:val="20"/>
          <w:szCs w:val="20"/>
          <w:lang w:val="en-GB" w:eastAsia="en-GB"/>
        </w:rPr>
        <w:t xml:space="preserve"> The ESFRI roadmap – publ</w:t>
      </w:r>
      <w:r>
        <w:rPr>
          <w:rFonts w:ascii="Times New Roman" w:hAnsi="Times New Roman"/>
          <w:color w:val="000000"/>
          <w:sz w:val="20"/>
          <w:szCs w:val="20"/>
          <w:lang w:val="en-GB" w:eastAsia="en-GB"/>
        </w:rPr>
        <w:t>ished in 2006 and updated in 2008 and 2010 – set out a list of RIs of pan-European importance, representing the outcome of systematic consultations with scientists and users. It provided a list of 48 new or significantly upgraded RIs to be developed by 201</w:t>
      </w:r>
      <w:r>
        <w:rPr>
          <w:rFonts w:ascii="Times New Roman" w:hAnsi="Times New Roman"/>
          <w:color w:val="000000"/>
          <w:sz w:val="20"/>
          <w:szCs w:val="20"/>
          <w:lang w:val="en-GB" w:eastAsia="en-GB"/>
        </w:rPr>
        <w:t>5-2020. A conservative estimate of the total development cost of the RI projects included in the ESFRI roadmap amounts to nearly 20 B€, and, on average, 2M€ will be required annually for their efficient operation. All the ESFRI projects are funded by vario</w:t>
      </w:r>
      <w:r>
        <w:rPr>
          <w:rFonts w:ascii="Times New Roman" w:hAnsi="Times New Roman"/>
          <w:color w:val="000000"/>
          <w:sz w:val="20"/>
          <w:szCs w:val="20"/>
          <w:lang w:val="en-GB" w:eastAsia="en-GB"/>
        </w:rPr>
        <w:t>us groups of EU Member States and Associated Countries. The Commission plays an active role in supporting the work of ESFRI by ensuring the secretariat of the forum. In 2012, the EU Council of Research Ministers enlarged the mandate of ESFRI in order to ad</w:t>
      </w:r>
      <w:r>
        <w:rPr>
          <w:rFonts w:ascii="Times New Roman" w:hAnsi="Times New Roman"/>
          <w:color w:val="000000"/>
          <w:sz w:val="20"/>
          <w:szCs w:val="20"/>
          <w:lang w:val="en-GB" w:eastAsia="en-GB"/>
        </w:rPr>
        <w:t>equately address the existing challenges and to ensure the follow-up of implementation of already ongoing ESFRI projects after a comprehensive assessment, as well as the prioritisation of the infrastructure projects listed in the ESFRI roadmap. A list of p</w:t>
      </w:r>
      <w:r>
        <w:rPr>
          <w:rFonts w:ascii="Times New Roman" w:hAnsi="Times New Roman"/>
          <w:color w:val="000000"/>
          <w:sz w:val="20"/>
          <w:szCs w:val="20"/>
          <w:lang w:val="en-GB" w:eastAsia="en-GB"/>
        </w:rPr>
        <w:t>riority projects has been agreed by ESFRI in April 2014. On this basis, t</w:t>
      </w:r>
      <w:r>
        <w:rPr>
          <w:rFonts w:ascii="Times New Roman" w:hAnsi="Times New Roman"/>
          <w:sz w:val="20"/>
          <w:szCs w:val="20"/>
          <w:lang w:val="en"/>
        </w:rPr>
        <w:t xml:space="preserve">he Commission further defined the Horizon 2020 support for the development of new world-class research infrastructures. </w:t>
      </w:r>
      <w:r>
        <w:rPr>
          <w:rFonts w:ascii="Times New Roman" w:hAnsi="Times New Roman"/>
          <w:sz w:val="20"/>
          <w:szCs w:val="20"/>
          <w:lang w:val="en"/>
        </w:rPr>
        <w:t>https://ec.europa.eu/research/infrastructures/index_en.cfm?pg=esfri-membership</w:t>
      </w:r>
    </w:p>
  </w:footnote>
  <w:footnote w:id="27">
    <w:p w:rsidR="00E535A0" w:rsidRDefault="00C953F5">
      <w:pPr>
        <w:pStyle w:val="Funotentext"/>
      </w:pPr>
      <w:r>
        <w:rPr>
          <w:rStyle w:val="Funotenzeichen"/>
        </w:rPr>
        <w:footnoteRef/>
      </w:r>
      <w:r>
        <w:t xml:space="preserve"> </w:t>
      </w:r>
      <w:r>
        <w:tab/>
      </w:r>
      <w:proofErr w:type="gramStart"/>
      <w:r>
        <w:t xml:space="preserve">Assessment of the impact of the ‘Regions of Knowledge’ programme, </w:t>
      </w:r>
      <w:proofErr w:type="spellStart"/>
      <w:r>
        <w:t>Techopolis</w:t>
      </w:r>
      <w:proofErr w:type="spellEnd"/>
      <w:r>
        <w:t>, 2011.</w:t>
      </w:r>
      <w:proofErr w:type="gramEnd"/>
    </w:p>
  </w:footnote>
  <w:footnote w:id="28">
    <w:p w:rsidR="00E535A0" w:rsidRDefault="00C953F5">
      <w:pPr>
        <w:pStyle w:val="Funotentext"/>
      </w:pPr>
      <w:r>
        <w:rPr>
          <w:rStyle w:val="Funotenzeichen"/>
        </w:rPr>
        <w:footnoteRef/>
      </w:r>
      <w:r>
        <w:t xml:space="preserve"> </w:t>
      </w:r>
      <w:r>
        <w:tab/>
        <w:t xml:space="preserve">The relationships with public authorities, universities and public research institutes </w:t>
      </w:r>
      <w:r>
        <w:t>have increased most significantly. SMEs represent almost 30% of participations in networks and there remains scope for higher involvement of SMEs and the private sector in general.</w:t>
      </w:r>
    </w:p>
  </w:footnote>
  <w:footnote w:id="29">
    <w:p w:rsidR="00E535A0" w:rsidRDefault="00C953F5">
      <w:pPr>
        <w:autoSpaceDE w:val="0"/>
        <w:autoSpaceDN w:val="0"/>
        <w:adjustRightInd w:val="0"/>
        <w:spacing w:after="0"/>
        <w:rPr>
          <w:rFonts w:ascii="Times New Roman" w:hAnsi="Times New Roman" w:cs="Times New Roman"/>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proofErr w:type="gramStart"/>
      <w:r>
        <w:rPr>
          <w:rFonts w:ascii="Times New Roman" w:hAnsi="Times New Roman" w:cs="Times New Roman"/>
          <w:sz w:val="20"/>
          <w:szCs w:val="20"/>
        </w:rPr>
        <w:t>The role of clusters in smart specialisation strategies, 2013.</w:t>
      </w:r>
      <w:proofErr w:type="gramEnd"/>
    </w:p>
  </w:footnote>
  <w:footnote w:id="30">
    <w:p w:rsidR="00E535A0" w:rsidRDefault="00C953F5">
      <w:pPr>
        <w:pStyle w:val="Funotentext"/>
      </w:pPr>
      <w:r>
        <w:rPr>
          <w:rStyle w:val="Funotenzeichen"/>
        </w:rPr>
        <w:footnoteRef/>
      </w:r>
      <w:r>
        <w:t xml:space="preserve"> </w:t>
      </w:r>
      <w:r>
        <w:tab/>
      </w:r>
      <w:r>
        <w:t>Average of 7 partnering organisations per project</w:t>
      </w:r>
    </w:p>
  </w:footnote>
  <w:footnote w:id="31">
    <w:p w:rsidR="00E535A0" w:rsidRDefault="00C953F5">
      <w:pPr>
        <w:pStyle w:val="Funotentext"/>
      </w:pPr>
      <w:r>
        <w:rPr>
          <w:rStyle w:val="Funotenzeichen"/>
        </w:rPr>
        <w:footnoteRef/>
      </w:r>
      <w:r>
        <w:t xml:space="preserve"> </w:t>
      </w:r>
      <w:r>
        <w:tab/>
        <w:t>Final Evaluation’s (COWI, 2014) questionnaire survey</w:t>
      </w:r>
    </w:p>
  </w:footnote>
  <w:footnote w:id="32">
    <w:p w:rsidR="00E535A0" w:rsidRDefault="00C953F5">
      <w:pPr>
        <w:pStyle w:val="Funotentext"/>
      </w:pPr>
      <w:r>
        <w:rPr>
          <w:rStyle w:val="Funotenzeichen"/>
        </w:rPr>
        <w:footnoteRef/>
      </w:r>
      <w:r>
        <w:t xml:space="preserve"> </w:t>
      </w:r>
      <w:r>
        <w:tab/>
        <w:t>Table 3 (p. 18 of the COWI’s Final Evaluation)</w:t>
      </w:r>
    </w:p>
  </w:footnote>
  <w:footnote w:id="33">
    <w:p w:rsidR="00E535A0" w:rsidRDefault="00C953F5">
      <w:pPr>
        <w:pStyle w:val="Funotentext"/>
      </w:pPr>
      <w:r>
        <w:rPr>
          <w:rStyle w:val="Funotenzeichen"/>
        </w:rPr>
        <w:footnoteRef/>
      </w:r>
      <w:r>
        <w:t xml:space="preserve"> </w:t>
      </w:r>
      <w:r>
        <w:tab/>
        <w:t>Many proposals scored 14 and above and were rejected</w:t>
      </w:r>
    </w:p>
  </w:footnote>
  <w:footnote w:id="34">
    <w:p w:rsidR="00E535A0" w:rsidRDefault="00C953F5">
      <w:pPr>
        <w:pStyle w:val="Funotentext"/>
      </w:pPr>
      <w:r>
        <w:rPr>
          <w:rStyle w:val="Funotenzeichen"/>
        </w:rPr>
        <w:footnoteRef/>
      </w:r>
      <w:r>
        <w:t xml:space="preserve"> </w:t>
      </w:r>
      <w:r>
        <w:tab/>
      </w:r>
      <w:proofErr w:type="gramStart"/>
      <w:r>
        <w:rPr>
          <w:bCs/>
        </w:rPr>
        <w:t>Impact Assessment of the Research Potenti</w:t>
      </w:r>
      <w:r>
        <w:rPr>
          <w:bCs/>
        </w:rPr>
        <w:t>al Programme, Expert Group 2011.</w:t>
      </w:r>
      <w:proofErr w:type="gramEnd"/>
    </w:p>
  </w:footnote>
  <w:footnote w:id="35">
    <w:p w:rsidR="00E535A0" w:rsidRDefault="00C953F5">
      <w:pPr>
        <w:autoSpaceDE w:val="0"/>
        <w:autoSpaceDN w:val="0"/>
        <w:adjustRightInd w:val="0"/>
        <w:spacing w:after="0"/>
        <w:ind w:left="720" w:hanging="720"/>
        <w:rPr>
          <w:rFonts w:ascii="Times New Roman" w:hAnsi="Times New Roman" w:cs="Times New Roman"/>
          <w:sz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proofErr w:type="gramStart"/>
      <w:r>
        <w:rPr>
          <w:rFonts w:ascii="Times New Roman" w:hAnsi="Times New Roman" w:cs="Times New Roman"/>
          <w:b/>
          <w:bCs/>
          <w:sz w:val="20"/>
          <w:szCs w:val="20"/>
        </w:rPr>
        <w:t xml:space="preserve">Interim Evaluation and Assessment of Future Options for Science in </w:t>
      </w:r>
      <w:r>
        <w:rPr>
          <w:rFonts w:ascii="Times New Roman" w:hAnsi="Times New Roman" w:cs="Times New Roman"/>
          <w:b/>
          <w:bCs/>
          <w:sz w:val="20"/>
        </w:rPr>
        <w:t xml:space="preserve">Society Actions </w:t>
      </w:r>
      <w:proofErr w:type="spellStart"/>
      <w:r>
        <w:rPr>
          <w:rFonts w:ascii="Times New Roman" w:hAnsi="Times New Roman" w:cs="Times New Roman"/>
          <w:sz w:val="20"/>
        </w:rPr>
        <w:t>Technopolis</w:t>
      </w:r>
      <w:proofErr w:type="spellEnd"/>
      <w:r>
        <w:rPr>
          <w:rFonts w:ascii="Times New Roman" w:hAnsi="Times New Roman" w:cs="Times New Roman"/>
          <w:sz w:val="20"/>
        </w:rPr>
        <w:t xml:space="preserve"> Group, in collaboration with </w:t>
      </w:r>
      <w:proofErr w:type="spellStart"/>
      <w:r>
        <w:rPr>
          <w:rFonts w:ascii="Times New Roman" w:hAnsi="Times New Roman" w:cs="Times New Roman"/>
          <w:sz w:val="20"/>
        </w:rPr>
        <w:t>Fraunhofer</w:t>
      </w:r>
      <w:proofErr w:type="spellEnd"/>
      <w:r>
        <w:rPr>
          <w:rFonts w:ascii="Times New Roman" w:hAnsi="Times New Roman" w:cs="Times New Roman"/>
          <w:sz w:val="20"/>
        </w:rPr>
        <w:t xml:space="preserve"> ISI and Science-Metrix.</w:t>
      </w:r>
      <w:proofErr w:type="gramEnd"/>
    </w:p>
  </w:footnote>
  <w:footnote w:id="36">
    <w:p w:rsidR="00E535A0" w:rsidRDefault="00C953F5">
      <w:pPr>
        <w:pStyle w:val="Funotentext"/>
        <w:rPr>
          <w:sz w:val="18"/>
          <w:szCs w:val="18"/>
          <w:lang w:val="en-US"/>
        </w:rPr>
      </w:pPr>
      <w:r>
        <w:rPr>
          <w:rStyle w:val="Funotenzeichen"/>
          <w:sz w:val="18"/>
          <w:szCs w:val="18"/>
        </w:rPr>
        <w:footnoteRef/>
      </w:r>
      <w:r>
        <w:rPr>
          <w:sz w:val="18"/>
          <w:szCs w:val="18"/>
        </w:rPr>
        <w:t xml:space="preserve"> </w:t>
      </w:r>
      <w:r>
        <w:rPr>
          <w:sz w:val="18"/>
          <w:szCs w:val="18"/>
        </w:rPr>
        <w:tab/>
      </w:r>
      <w:r>
        <w:rPr>
          <w:szCs w:val="18"/>
        </w:rPr>
        <w:t>The data exclude participations in ERC proposals (n=51,628</w:t>
      </w:r>
      <w:r>
        <w:rPr>
          <w:szCs w:val="18"/>
        </w:rPr>
        <w:t>) and ERC projects as these are not categorised by organisation type.</w:t>
      </w:r>
    </w:p>
  </w:footnote>
  <w:footnote w:id="37">
    <w:p w:rsidR="00E535A0" w:rsidRDefault="00C953F5">
      <w:pPr>
        <w:pStyle w:val="Funotentext"/>
      </w:pPr>
      <w:r>
        <w:rPr>
          <w:rStyle w:val="Funotenzeichen"/>
        </w:rPr>
        <w:footnoteRef/>
      </w:r>
      <w:r>
        <w:t xml:space="preserve"> </w:t>
      </w:r>
      <w:r>
        <w:tab/>
      </w:r>
      <w:hyperlink r:id="rId6" w:history="1">
        <w:r>
          <w:rPr>
            <w:rStyle w:val="Hyperlink"/>
          </w:rPr>
          <w:t>www.transitionproject.eu</w:t>
        </w:r>
      </w:hyperlink>
      <w:r>
        <w:t xml:space="preserve"> </w:t>
      </w:r>
    </w:p>
  </w:footnote>
  <w:footnote w:id="38">
    <w:p w:rsidR="00E535A0" w:rsidRDefault="00C953F5">
      <w:pPr>
        <w:pStyle w:val="Funotentext"/>
      </w:pPr>
      <w:r>
        <w:rPr>
          <w:rStyle w:val="Funotenzeichen"/>
        </w:rPr>
        <w:footnoteRef/>
      </w:r>
      <w:r>
        <w:t xml:space="preserve"> </w:t>
      </w:r>
      <w:r>
        <w:tab/>
      </w:r>
      <w:hyperlink r:id="rId7" w:history="1">
        <w:r>
          <w:rPr>
            <w:rStyle w:val="Hyperlink"/>
          </w:rPr>
          <w:t>www.benisi.eu</w:t>
        </w:r>
      </w:hyperlink>
      <w:r>
        <w:t xml:space="preserve"> </w:t>
      </w:r>
    </w:p>
  </w:footnote>
  <w:footnote w:id="39">
    <w:p w:rsidR="00E535A0" w:rsidRDefault="00C953F5">
      <w:pPr>
        <w:pStyle w:val="Funotentext"/>
      </w:pPr>
      <w:r>
        <w:rPr>
          <w:rStyle w:val="Funotenzeichen"/>
        </w:rPr>
        <w:footnoteRef/>
      </w:r>
      <w:r>
        <w:t xml:space="preserve"> </w:t>
      </w:r>
      <w:r>
        <w:tab/>
        <w:t>evaluation of the CDRP programme</w:t>
      </w:r>
    </w:p>
  </w:footnote>
  <w:footnote w:id="40">
    <w:p w:rsidR="00E535A0" w:rsidRDefault="00C953F5">
      <w:pPr>
        <w:pStyle w:val="Funotentext"/>
      </w:pPr>
      <w:r>
        <w:rPr>
          <w:rStyle w:val="Funotenzeichen"/>
        </w:rPr>
        <w:footnoteRef/>
      </w:r>
      <w:r>
        <w:t xml:space="preserve"> </w:t>
      </w:r>
      <w:r>
        <w:tab/>
        <w:t xml:space="preserve">The EU has </w:t>
      </w:r>
      <w:r>
        <w:t>signed ten strategic partnerships – Brazil, Canada, China, India, Japan, Mexico, Russia, South Africa, South Korea, US.</w:t>
      </w:r>
    </w:p>
  </w:footnote>
  <w:footnote w:id="41">
    <w:p w:rsidR="00E535A0" w:rsidRDefault="00C953F5">
      <w:pPr>
        <w:pStyle w:val="Funotentext"/>
        <w:rPr>
          <w:i/>
        </w:rPr>
      </w:pPr>
      <w:r>
        <w:rPr>
          <w:rStyle w:val="Funotenzeichen"/>
        </w:rPr>
        <w:footnoteRef/>
      </w:r>
      <w:r>
        <w:t xml:space="preserve"> </w:t>
      </w:r>
      <w:r>
        <w:tab/>
        <w:t xml:space="preserve">For the report by a group of independent experts on the first interim evaluation of the RSFF, see </w:t>
      </w:r>
      <w:hyperlink r:id="rId8" w:history="1">
        <w:r>
          <w:rPr>
            <w:rStyle w:val="Hyperlink"/>
            <w:lang w:eastAsia="ar-SA"/>
          </w:rPr>
          <w:t>http://ec.europa.eu/research/evaluations/pdf/archive/other_reports_studies_and_documents/mid-t</w:t>
        </w:r>
        <w:r>
          <w:rPr>
            <w:rStyle w:val="Hyperlink"/>
            <w:lang w:eastAsia="ar-SA"/>
          </w:rPr>
          <w:t>erm_evaluation_of_the_risk-sharing_financial_facility_(rsff)_-_expert_group_report.pdf</w:t>
        </w:r>
      </w:hyperlink>
      <w:r>
        <w:rPr>
          <w:i/>
        </w:rPr>
        <w:t xml:space="preserve"> </w:t>
      </w:r>
    </w:p>
  </w:footnote>
  <w:footnote w:id="42">
    <w:p w:rsidR="00E535A0" w:rsidRDefault="00C953F5">
      <w:pPr>
        <w:pStyle w:val="Funotentext"/>
        <w:rPr>
          <w:lang w:val="en-US"/>
        </w:rPr>
      </w:pPr>
      <w:r>
        <w:rPr>
          <w:rStyle w:val="Funotenzeichen"/>
        </w:rPr>
        <w:footnoteRef/>
      </w:r>
      <w:r>
        <w:t xml:space="preserve"> </w:t>
      </w:r>
      <w:r>
        <w:tab/>
        <w:t>In the PFLP approach, the EU contribution is used first to cover any losses in a portfolio of loans, but only up to a pre-defined percentage of losses (the so-called</w:t>
      </w:r>
      <w:r>
        <w:t xml:space="preserve"> 'first-loss piece' or cushion). If losses exceed the EU contribution, the EIB covers all further losses.</w:t>
      </w:r>
    </w:p>
  </w:footnote>
  <w:footnote w:id="43">
    <w:p w:rsidR="00E535A0" w:rsidRDefault="00C953F5">
      <w:pPr>
        <w:pStyle w:val="Funotentext"/>
        <w:rPr>
          <w:lang w:val="en-US"/>
        </w:rPr>
      </w:pPr>
      <w:r>
        <w:rPr>
          <w:rStyle w:val="Funotenzeichen"/>
        </w:rPr>
        <w:footnoteRef/>
      </w:r>
      <w:r>
        <w:t xml:space="preserve"> </w:t>
      </w:r>
      <w:r>
        <w:tab/>
        <w:t xml:space="preserve">For the report by a group of independent experts on the second interim evaluation of the RSFF, see </w:t>
      </w:r>
      <w:hyperlink r:id="rId9" w:history="1">
        <w:r>
          <w:rPr>
            <w:rStyle w:val="Hyperlink"/>
            <w:lang w:val="en-US"/>
          </w:rPr>
          <w:t>http://ec.europa.eu/research/evaluations/pdf/archive/other_reports_studies_and_documents/interim_evaluation_report_rsff.pdf</w:t>
        </w:r>
      </w:hyperlink>
      <w:r>
        <w:rPr>
          <w:lang w:val="en-US"/>
        </w:rPr>
        <w:t xml:space="preserve"> </w:t>
      </w:r>
    </w:p>
  </w:footnote>
  <w:footnote w:id="44">
    <w:p w:rsidR="00E535A0" w:rsidRDefault="00C953F5">
      <w:pPr>
        <w:pStyle w:val="Funotentext"/>
      </w:pPr>
      <w:r>
        <w:rPr>
          <w:rStyle w:val="Funotenzeichen"/>
        </w:rPr>
        <w:footnoteRef/>
      </w:r>
      <w:r>
        <w:t xml:space="preserve"> </w:t>
      </w:r>
      <w:r>
        <w:tab/>
      </w:r>
      <w:proofErr w:type="gramStart"/>
      <w:r>
        <w:t>COM(</w:t>
      </w:r>
      <w:proofErr w:type="gramEnd"/>
      <w:r>
        <w:t>2011) 500, 29.6.2011, p. 9 and p</w:t>
      </w:r>
      <w:r>
        <w:t>. 11 of Part I.</w:t>
      </w:r>
    </w:p>
  </w:footnote>
  <w:footnote w:id="45">
    <w:p w:rsidR="00E535A0" w:rsidRDefault="00C953F5">
      <w:pPr>
        <w:pStyle w:val="Funotentext"/>
        <w:rPr>
          <w:lang w:val="en-US"/>
        </w:rPr>
      </w:pPr>
      <w:r>
        <w:rPr>
          <w:rStyle w:val="Funotenzeichen"/>
        </w:rPr>
        <w:footnoteRef/>
      </w:r>
      <w:r>
        <w:t xml:space="preserve"> </w:t>
      </w:r>
      <w:r>
        <w:tab/>
        <w:t xml:space="preserve">See </w:t>
      </w:r>
      <w:r>
        <w:rPr>
          <w:i/>
        </w:rPr>
        <w:t>A framework for the next generation of innovative financial instruments — the EU debt and equity platforms</w:t>
      </w:r>
      <w:r>
        <w:t xml:space="preserve">, </w:t>
      </w:r>
      <w:proofErr w:type="gramStart"/>
      <w:r>
        <w:t>COM(</w:t>
      </w:r>
      <w:proofErr w:type="gramEnd"/>
      <w:r>
        <w:t>2011) 662, 19.10.2011.</w:t>
      </w:r>
    </w:p>
  </w:footnote>
  <w:footnote w:id="46">
    <w:p w:rsidR="00E535A0" w:rsidRDefault="00C953F5">
      <w:pPr>
        <w:rPr>
          <w:rFonts w:ascii="TimesNewRoman" w:eastAsia="Times New Roman" w:hAnsi="TimesNewRoman"/>
          <w:sz w:val="20"/>
          <w:szCs w:val="20"/>
          <w:lang w:val="it-IT" w:eastAsia="pl-PL"/>
        </w:rPr>
      </w:pPr>
      <w:r>
        <w:rPr>
          <w:rStyle w:val="Funotenzeichen"/>
          <w:rFonts w:ascii="TimesNewRoman" w:hAnsi="TimesNewRoman"/>
          <w:sz w:val="20"/>
          <w:szCs w:val="20"/>
        </w:rPr>
        <w:footnoteRef/>
      </w:r>
      <w:r>
        <w:rPr>
          <w:rFonts w:ascii="TimesNewRoman" w:hAnsi="TimesNewRoman"/>
          <w:sz w:val="20"/>
          <w:szCs w:val="20"/>
          <w:lang w:val="it-IT"/>
        </w:rPr>
        <w:t xml:space="preserve"> </w:t>
      </w:r>
      <w:r>
        <w:rPr>
          <w:rFonts w:ascii="TimesNewRoman" w:hAnsi="TimesNewRoman"/>
          <w:sz w:val="20"/>
          <w:szCs w:val="20"/>
          <w:lang w:val="it-IT"/>
        </w:rPr>
        <w:tab/>
      </w:r>
      <w:proofErr w:type="spellStart"/>
      <w:r>
        <w:rPr>
          <w:rFonts w:ascii="TimesNewRoman" w:hAnsi="TimesNewRoman"/>
          <w:sz w:val="20"/>
          <w:szCs w:val="20"/>
          <w:lang w:val="it-IT"/>
        </w:rPr>
        <w:t>Decision</w:t>
      </w:r>
      <w:proofErr w:type="spellEnd"/>
      <w:r>
        <w:rPr>
          <w:rFonts w:ascii="TimesNewRoman" w:hAnsi="TimesNewRoman"/>
          <w:sz w:val="20"/>
          <w:szCs w:val="20"/>
          <w:lang w:val="it-IT"/>
        </w:rPr>
        <w:t xml:space="preserve"> </w:t>
      </w:r>
      <w:r>
        <w:rPr>
          <w:rFonts w:ascii="TimesNewRoman" w:eastAsia="Times New Roman" w:hAnsi="TimesNewRoman"/>
          <w:iCs/>
          <w:color w:val="213847"/>
          <w:sz w:val="20"/>
          <w:szCs w:val="20"/>
          <w:shd w:val="clear" w:color="auto" w:fill="FFFFFF"/>
          <w:lang w:val="it-IT" w:eastAsia="pl-PL"/>
        </w:rPr>
        <w:t>2006/970/</w:t>
      </w:r>
      <w:proofErr w:type="spellStart"/>
      <w:r>
        <w:rPr>
          <w:rFonts w:ascii="TimesNewRoman" w:eastAsia="Times New Roman" w:hAnsi="TimesNewRoman"/>
          <w:iCs/>
          <w:color w:val="213847"/>
          <w:sz w:val="20"/>
          <w:szCs w:val="20"/>
          <w:shd w:val="clear" w:color="auto" w:fill="FFFFFF"/>
          <w:lang w:val="it-IT" w:eastAsia="pl-PL"/>
        </w:rPr>
        <w:t>Euratom</w:t>
      </w:r>
      <w:proofErr w:type="spellEnd"/>
      <w:r>
        <w:rPr>
          <w:rFonts w:ascii="TimesNewRoman" w:eastAsia="Times New Roman" w:hAnsi="TimesNewRoman"/>
          <w:iCs/>
          <w:color w:val="213847"/>
          <w:sz w:val="20"/>
          <w:szCs w:val="20"/>
          <w:shd w:val="clear" w:color="auto" w:fill="FFFFFF"/>
          <w:lang w:val="it-IT" w:eastAsia="pl-PL"/>
        </w:rPr>
        <w:t>, OJ L54/21, 22.02.2007</w:t>
      </w:r>
    </w:p>
  </w:footnote>
  <w:footnote w:id="47">
    <w:p w:rsidR="00E535A0" w:rsidRDefault="00C953F5">
      <w:pPr>
        <w:rPr>
          <w:rFonts w:ascii="TimesNewRoman" w:eastAsia="Times New Roman" w:hAnsi="TimesNewRoman"/>
          <w:sz w:val="20"/>
          <w:szCs w:val="20"/>
          <w:lang w:val="it-IT" w:eastAsia="pl-PL"/>
        </w:rPr>
      </w:pPr>
      <w:r>
        <w:rPr>
          <w:rStyle w:val="Funotenzeichen"/>
          <w:rFonts w:ascii="TimesNewRoman" w:hAnsi="TimesNewRoman"/>
          <w:sz w:val="20"/>
          <w:szCs w:val="20"/>
        </w:rPr>
        <w:footnoteRef/>
      </w:r>
      <w:r>
        <w:rPr>
          <w:rFonts w:ascii="TimesNewRoman" w:hAnsi="TimesNewRoman"/>
          <w:sz w:val="20"/>
          <w:szCs w:val="20"/>
          <w:lang w:val="it-IT"/>
        </w:rPr>
        <w:t xml:space="preserve"> </w:t>
      </w:r>
      <w:r>
        <w:rPr>
          <w:rFonts w:ascii="TimesNewRoman" w:hAnsi="TimesNewRoman"/>
          <w:sz w:val="20"/>
          <w:szCs w:val="20"/>
          <w:lang w:val="it-IT"/>
        </w:rPr>
        <w:tab/>
      </w:r>
      <w:proofErr w:type="spellStart"/>
      <w:r>
        <w:rPr>
          <w:rFonts w:ascii="TimesNewRoman" w:eastAsia="Times New Roman" w:hAnsi="TimesNewRoman"/>
          <w:iCs/>
          <w:color w:val="213847"/>
          <w:sz w:val="20"/>
          <w:szCs w:val="20"/>
          <w:shd w:val="clear" w:color="auto" w:fill="FFFFFF"/>
          <w:lang w:val="it-IT" w:eastAsia="pl-PL"/>
        </w:rPr>
        <w:t>Decision</w:t>
      </w:r>
      <w:proofErr w:type="spellEnd"/>
      <w:r>
        <w:rPr>
          <w:rFonts w:ascii="TimesNewRoman" w:eastAsia="Times New Roman" w:hAnsi="TimesNewRoman"/>
          <w:iCs/>
          <w:color w:val="213847"/>
          <w:sz w:val="20"/>
          <w:szCs w:val="20"/>
          <w:shd w:val="clear" w:color="auto" w:fill="FFFFFF"/>
          <w:lang w:val="it-IT" w:eastAsia="pl-PL"/>
        </w:rPr>
        <w:t xml:space="preserve"> 2012/93/</w:t>
      </w:r>
      <w:proofErr w:type="spellStart"/>
      <w:r>
        <w:rPr>
          <w:rFonts w:ascii="TimesNewRoman" w:eastAsia="Times New Roman" w:hAnsi="TimesNewRoman"/>
          <w:iCs/>
          <w:color w:val="213847"/>
          <w:sz w:val="20"/>
          <w:szCs w:val="20"/>
          <w:shd w:val="clear" w:color="auto" w:fill="FFFFFF"/>
          <w:lang w:val="it-IT" w:eastAsia="pl-PL"/>
        </w:rPr>
        <w:t>Euratom</w:t>
      </w:r>
      <w:proofErr w:type="spellEnd"/>
      <w:r>
        <w:rPr>
          <w:rFonts w:ascii="TimesNewRoman" w:eastAsia="Times New Roman" w:hAnsi="TimesNewRoman"/>
          <w:iCs/>
          <w:color w:val="213847"/>
          <w:sz w:val="20"/>
          <w:szCs w:val="20"/>
          <w:shd w:val="clear" w:color="auto" w:fill="FFFFFF"/>
          <w:lang w:val="it-IT" w:eastAsia="pl-PL"/>
        </w:rPr>
        <w:t xml:space="preserve">, OJ </w:t>
      </w:r>
      <w:proofErr w:type="gramStart"/>
      <w:r>
        <w:rPr>
          <w:rFonts w:ascii="TimesNewRoman" w:eastAsia="Times New Roman" w:hAnsi="TimesNewRoman"/>
          <w:iCs/>
          <w:color w:val="213847"/>
          <w:sz w:val="20"/>
          <w:szCs w:val="20"/>
          <w:shd w:val="clear" w:color="auto" w:fill="FFFFFF"/>
          <w:lang w:val="it-IT" w:eastAsia="pl-PL"/>
        </w:rPr>
        <w:t>L</w:t>
      </w:r>
      <w:proofErr w:type="gramEnd"/>
      <w:r>
        <w:rPr>
          <w:rFonts w:ascii="TimesNewRoman" w:eastAsia="Times New Roman" w:hAnsi="TimesNewRoman"/>
          <w:iCs/>
          <w:color w:val="213847"/>
          <w:sz w:val="20"/>
          <w:szCs w:val="20"/>
          <w:shd w:val="clear" w:color="auto" w:fill="FFFFFF"/>
          <w:lang w:val="it-IT" w:eastAsia="pl-PL"/>
        </w:rPr>
        <w:t xml:space="preserve"> 47/25, 18.02</w:t>
      </w:r>
      <w:r>
        <w:rPr>
          <w:rFonts w:ascii="TimesNewRoman" w:eastAsia="Times New Roman" w:hAnsi="TimesNewRoman"/>
          <w:iCs/>
          <w:color w:val="213847"/>
          <w:sz w:val="20"/>
          <w:szCs w:val="20"/>
          <w:shd w:val="clear" w:color="auto" w:fill="FFFFFF"/>
          <w:lang w:val="it-IT" w:eastAsia="pl-PL"/>
        </w:rPr>
        <w:t>.2012</w:t>
      </w:r>
    </w:p>
  </w:footnote>
  <w:footnote w:id="48">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t>“R&amp;D Needs and Required Facilities for the Development of Fusion as an Energy Source”; Report of the Fusion Facilities Review Panel October 2008; ISBN 978-92-79-10057-4.</w:t>
      </w:r>
    </w:p>
  </w:footnote>
  <w:footnote w:id="49">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r>
      <w:proofErr w:type="gramStart"/>
      <w:r>
        <w:rPr>
          <w:rFonts w:ascii="TimesNewRoman" w:hAnsi="TimesNewRoman"/>
        </w:rPr>
        <w:t xml:space="preserve">“Potential Contributions of the JET Facility to Fusion Research in </w:t>
      </w:r>
      <w:r>
        <w:rPr>
          <w:rFonts w:ascii="TimesNewRoman" w:hAnsi="TimesNewRoman"/>
        </w:rPr>
        <w:t>Relation to Support for ITER”, 11 July 2011; “Strategic Orientation of the EU Fusion Programme (with emphasis on Horizon 2020)”, 1 September 2011.</w:t>
      </w:r>
      <w:proofErr w:type="gramEnd"/>
    </w:p>
  </w:footnote>
  <w:footnote w:id="50">
    <w:p w:rsidR="00E535A0" w:rsidRDefault="00C953F5">
      <w:pPr>
        <w:spacing w:after="0"/>
        <w:ind w:left="720" w:hanging="720"/>
        <w:rPr>
          <w:rFonts w:ascii="TimesNewRoman" w:hAnsi="TimesNewRoman"/>
          <w:sz w:val="20"/>
          <w:szCs w:val="20"/>
        </w:rPr>
      </w:pPr>
      <w:r>
        <w:rPr>
          <w:rStyle w:val="Funotenzeichen"/>
          <w:rFonts w:ascii="TimesNewRoman" w:hAnsi="TimesNewRoman"/>
          <w:sz w:val="20"/>
          <w:szCs w:val="20"/>
        </w:rPr>
        <w:footnoteRef/>
      </w:r>
      <w:r>
        <w:rPr>
          <w:rFonts w:ascii="TimesNewRoman" w:hAnsi="TimesNewRoman"/>
          <w:sz w:val="20"/>
          <w:szCs w:val="20"/>
        </w:rPr>
        <w:t xml:space="preserve"> </w:t>
      </w:r>
      <w:r>
        <w:rPr>
          <w:rFonts w:ascii="TimesNewRoman" w:hAnsi="TimesNewRoman"/>
          <w:sz w:val="20"/>
          <w:szCs w:val="20"/>
        </w:rPr>
        <w:tab/>
        <w:t xml:space="preserve">Source: report on </w:t>
      </w:r>
      <w:r>
        <w:rPr>
          <w:rFonts w:ascii="TimesNewRoman" w:hAnsi="TimesNewRoman"/>
          <w:i/>
          <w:sz w:val="20"/>
          <w:szCs w:val="20"/>
        </w:rPr>
        <w:t xml:space="preserve">Ex-post Evaluation of R&amp;D Actions in Nuclear Systems carried out under the </w:t>
      </w:r>
      <w:proofErr w:type="spellStart"/>
      <w:proofErr w:type="gramStart"/>
      <w:r>
        <w:rPr>
          <w:rFonts w:ascii="TimesNewRoman" w:hAnsi="TimesNewRoman"/>
          <w:i/>
          <w:sz w:val="20"/>
          <w:szCs w:val="20"/>
        </w:rPr>
        <w:t>Euratom</w:t>
      </w:r>
      <w:proofErr w:type="spellEnd"/>
      <w:proofErr w:type="gramEnd"/>
      <w:r>
        <w:rPr>
          <w:rFonts w:ascii="TimesNewRoman" w:hAnsi="TimesNewRoman"/>
          <w:i/>
          <w:sz w:val="20"/>
          <w:szCs w:val="20"/>
        </w:rPr>
        <w:t xml:space="preserve"> 7th F</w:t>
      </w:r>
      <w:r>
        <w:rPr>
          <w:rFonts w:ascii="TimesNewRoman" w:hAnsi="TimesNewRoman"/>
          <w:i/>
          <w:sz w:val="20"/>
          <w:szCs w:val="20"/>
        </w:rPr>
        <w:t xml:space="preserve">ramework Programme (2007-2011) and the </w:t>
      </w:r>
      <w:proofErr w:type="spellStart"/>
      <w:r>
        <w:rPr>
          <w:rFonts w:ascii="TimesNewRoman" w:hAnsi="TimesNewRoman"/>
          <w:i/>
          <w:sz w:val="20"/>
          <w:szCs w:val="20"/>
        </w:rPr>
        <w:t>Euratom</w:t>
      </w:r>
      <w:proofErr w:type="spellEnd"/>
      <w:r>
        <w:rPr>
          <w:rFonts w:ascii="TimesNewRoman" w:hAnsi="TimesNewRoman"/>
          <w:i/>
          <w:sz w:val="20"/>
          <w:szCs w:val="20"/>
        </w:rPr>
        <w:t xml:space="preserve"> Framework Programme (2012-2013)</w:t>
      </w:r>
      <w:r>
        <w:rPr>
          <w:rFonts w:ascii="TimesNewRoman" w:hAnsi="TimesNewRoman"/>
          <w:sz w:val="20"/>
          <w:szCs w:val="20"/>
        </w:rPr>
        <w:t xml:space="preserve"> by Konstantin </w:t>
      </w:r>
      <w:proofErr w:type="spellStart"/>
      <w:r>
        <w:rPr>
          <w:rFonts w:ascii="TimesNewRoman" w:hAnsi="TimesNewRoman"/>
          <w:sz w:val="20"/>
          <w:szCs w:val="20"/>
        </w:rPr>
        <w:t>Foskolos</w:t>
      </w:r>
      <w:proofErr w:type="spellEnd"/>
      <w:r>
        <w:rPr>
          <w:rFonts w:ascii="TimesNewRoman" w:hAnsi="TimesNewRoman"/>
          <w:sz w:val="20"/>
          <w:szCs w:val="20"/>
        </w:rPr>
        <w:t xml:space="preserve"> and </w:t>
      </w:r>
      <w:proofErr w:type="spellStart"/>
      <w:r>
        <w:rPr>
          <w:rFonts w:ascii="TimesNewRoman" w:hAnsi="TimesNewRoman"/>
          <w:sz w:val="20"/>
          <w:szCs w:val="20"/>
        </w:rPr>
        <w:t>János</w:t>
      </w:r>
      <w:proofErr w:type="spellEnd"/>
      <w:r>
        <w:rPr>
          <w:rFonts w:ascii="TimesNewRoman" w:hAnsi="TimesNewRoman"/>
          <w:sz w:val="20"/>
          <w:szCs w:val="20"/>
        </w:rPr>
        <w:t xml:space="preserve"> </w:t>
      </w:r>
      <w:proofErr w:type="spellStart"/>
      <w:r>
        <w:rPr>
          <w:rFonts w:ascii="TimesNewRoman" w:hAnsi="TimesNewRoman"/>
          <w:sz w:val="20"/>
          <w:szCs w:val="20"/>
        </w:rPr>
        <w:t>Gadó</w:t>
      </w:r>
      <w:proofErr w:type="spellEnd"/>
      <w:r>
        <w:rPr>
          <w:rFonts w:ascii="TimesNewRoman" w:hAnsi="TimesNewRoman"/>
          <w:sz w:val="20"/>
          <w:szCs w:val="20"/>
        </w:rPr>
        <w:t xml:space="preserve">, September 2014. </w:t>
      </w:r>
    </w:p>
  </w:footnote>
  <w:footnote w:id="51">
    <w:p w:rsidR="00E535A0" w:rsidRDefault="00C953F5">
      <w:pPr>
        <w:pStyle w:val="KeinLeerraum"/>
        <w:ind w:left="720" w:hanging="720"/>
        <w:jc w:val="both"/>
        <w:outlineLvl w:val="0"/>
        <w:rPr>
          <w:rFonts w:ascii="TimesNewRoman" w:hAnsi="TimesNewRoman"/>
          <w:sz w:val="20"/>
          <w:szCs w:val="20"/>
          <w:lang w:val="en-GB"/>
        </w:rPr>
      </w:pPr>
      <w:r>
        <w:rPr>
          <w:rStyle w:val="Funotenzeichen"/>
          <w:rFonts w:ascii="TimesNewRoman" w:hAnsi="TimesNewRoman"/>
          <w:sz w:val="20"/>
          <w:szCs w:val="20"/>
        </w:rPr>
        <w:footnoteRef/>
      </w:r>
      <w:r>
        <w:rPr>
          <w:rFonts w:ascii="TimesNewRoman" w:hAnsi="TimesNewRoman"/>
          <w:sz w:val="20"/>
          <w:szCs w:val="20"/>
          <w:lang w:val="en-GB"/>
        </w:rPr>
        <w:t xml:space="preserve"> </w:t>
      </w:r>
      <w:r>
        <w:rPr>
          <w:rFonts w:ascii="TimesNewRoman" w:hAnsi="TimesNewRoman"/>
          <w:sz w:val="20"/>
          <w:szCs w:val="20"/>
          <w:lang w:val="en-GB"/>
        </w:rPr>
        <w:tab/>
        <w:t xml:space="preserve">Source: </w:t>
      </w:r>
      <w:r>
        <w:rPr>
          <w:rFonts w:ascii="TimesNewRoman" w:hAnsi="TimesNewRoman"/>
          <w:i/>
          <w:sz w:val="20"/>
          <w:szCs w:val="20"/>
          <w:lang w:val="en-GB"/>
        </w:rPr>
        <w:t xml:space="preserve">Ex-post evaluation of fusion research funded from the </w:t>
      </w:r>
      <w:proofErr w:type="spellStart"/>
      <w:proofErr w:type="gramStart"/>
      <w:r>
        <w:rPr>
          <w:rFonts w:ascii="TimesNewRoman" w:hAnsi="TimesNewRoman"/>
          <w:i/>
          <w:sz w:val="20"/>
          <w:szCs w:val="20"/>
          <w:lang w:val="en-GB"/>
        </w:rPr>
        <w:t>Euratom</w:t>
      </w:r>
      <w:proofErr w:type="spellEnd"/>
      <w:proofErr w:type="gramEnd"/>
      <w:r>
        <w:rPr>
          <w:rFonts w:ascii="TimesNewRoman" w:hAnsi="TimesNewRoman"/>
          <w:i/>
          <w:sz w:val="20"/>
          <w:szCs w:val="20"/>
          <w:lang w:val="en-GB"/>
        </w:rPr>
        <w:t xml:space="preserve"> 7th Framework Programme, </w:t>
      </w:r>
      <w:r>
        <w:rPr>
          <w:rFonts w:ascii="TimesNewRoman" w:hAnsi="TimesNewRoman"/>
          <w:sz w:val="20"/>
          <w:szCs w:val="20"/>
          <w:lang w:val="en-GB"/>
        </w:rPr>
        <w:t>by Philippa Browning an</w:t>
      </w:r>
      <w:r>
        <w:rPr>
          <w:rFonts w:ascii="TimesNewRoman" w:hAnsi="TimesNewRoman"/>
          <w:sz w:val="20"/>
          <w:szCs w:val="20"/>
          <w:lang w:val="en-GB"/>
        </w:rPr>
        <w:t xml:space="preserve">d </w:t>
      </w:r>
      <w:proofErr w:type="spellStart"/>
      <w:r>
        <w:rPr>
          <w:rFonts w:ascii="TimesNewRoman" w:hAnsi="TimesNewRoman"/>
          <w:sz w:val="20"/>
          <w:szCs w:val="20"/>
          <w:lang w:val="en-GB"/>
        </w:rPr>
        <w:t>Arto</w:t>
      </w:r>
      <w:proofErr w:type="spellEnd"/>
      <w:r>
        <w:rPr>
          <w:rFonts w:ascii="TimesNewRoman" w:hAnsi="TimesNewRoman"/>
          <w:sz w:val="20"/>
          <w:szCs w:val="20"/>
          <w:lang w:val="en-GB"/>
        </w:rPr>
        <w:t xml:space="preserve"> </w:t>
      </w:r>
      <w:proofErr w:type="spellStart"/>
      <w:r>
        <w:rPr>
          <w:rFonts w:ascii="TimesNewRoman" w:hAnsi="TimesNewRoman"/>
          <w:sz w:val="20"/>
          <w:szCs w:val="20"/>
          <w:lang w:val="en-GB"/>
        </w:rPr>
        <w:t>Timperi</w:t>
      </w:r>
      <w:proofErr w:type="spellEnd"/>
      <w:r>
        <w:rPr>
          <w:rFonts w:ascii="TimesNewRoman" w:hAnsi="TimesNewRoman"/>
          <w:sz w:val="20"/>
          <w:szCs w:val="20"/>
          <w:lang w:val="en-GB"/>
        </w:rPr>
        <w:t xml:space="preserve">, September 2015. </w:t>
      </w:r>
    </w:p>
    <w:p w:rsidR="00E535A0" w:rsidRDefault="00E535A0">
      <w:pPr>
        <w:pStyle w:val="Funotentext"/>
        <w:rPr>
          <w:rFonts w:ascii="TimesNewRoman" w:hAnsi="TimesNewRoman"/>
        </w:rPr>
      </w:pPr>
    </w:p>
  </w:footnote>
  <w:footnote w:id="52">
    <w:p w:rsidR="00E535A0" w:rsidRDefault="00C953F5">
      <w:pPr>
        <w:pStyle w:val="Funotentext"/>
        <w:rPr>
          <w:rFonts w:ascii="TimesNewRoman" w:hAnsi="TimesNewRoman"/>
          <w:lang w:val="fr-BE"/>
        </w:rPr>
      </w:pPr>
      <w:r>
        <w:rPr>
          <w:rStyle w:val="Funotenzeichen"/>
          <w:rFonts w:ascii="TimesNewRoman" w:hAnsi="TimesNewRoman"/>
        </w:rPr>
        <w:footnoteRef/>
      </w:r>
      <w:r>
        <w:rPr>
          <w:rFonts w:ascii="TimesNewRoman" w:hAnsi="TimesNewRoman"/>
          <w:lang w:val="fr-BE"/>
        </w:rPr>
        <w:t xml:space="preserve"> </w:t>
      </w:r>
      <w:r>
        <w:rPr>
          <w:rFonts w:ascii="TimesNewRoman" w:hAnsi="TimesNewRoman"/>
          <w:lang w:val="fr-BE"/>
        </w:rPr>
        <w:tab/>
        <w:t xml:space="preserve">J Roth et al, Jour. </w:t>
      </w:r>
      <w:proofErr w:type="spellStart"/>
      <w:r>
        <w:rPr>
          <w:rFonts w:ascii="TimesNewRoman" w:hAnsi="TimesNewRoman"/>
          <w:lang w:val="fr-BE"/>
        </w:rPr>
        <w:t>Nuc</w:t>
      </w:r>
      <w:proofErr w:type="spellEnd"/>
      <w:r>
        <w:rPr>
          <w:rFonts w:ascii="TimesNewRoman" w:hAnsi="TimesNewRoman"/>
          <w:lang w:val="fr-BE"/>
        </w:rPr>
        <w:t>. Mat. 390-391, 1, (2009)</w:t>
      </w:r>
    </w:p>
  </w:footnote>
  <w:footnote w:id="53">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lang w:val="fr-BE"/>
        </w:rPr>
        <w:t xml:space="preserve"> </w:t>
      </w:r>
      <w:r>
        <w:rPr>
          <w:rFonts w:ascii="TimesNewRoman" w:hAnsi="TimesNewRoman"/>
          <w:lang w:val="fr-BE"/>
        </w:rPr>
        <w:tab/>
        <w:t xml:space="preserve">Y Liang et al, Phys. </w:t>
      </w:r>
      <w:r>
        <w:rPr>
          <w:rFonts w:ascii="TimesNewRoman" w:hAnsi="TimesNewRoman"/>
          <w:lang w:val="nb-NO"/>
        </w:rPr>
        <w:t xml:space="preserve">Rev. </w:t>
      </w:r>
      <w:r>
        <w:rPr>
          <w:rFonts w:ascii="TimesNewRoman" w:hAnsi="TimesNewRoman"/>
          <w:lang w:val="nb-NO"/>
        </w:rPr>
        <w:t xml:space="preserve">Lett. 98, 265004 (2007); T E Evans et al, Nuc. Fus. 48, 024002 (2008) ;  A Kirk et al, Plas. </w:t>
      </w:r>
      <w:r w:rsidRPr="00C953F5">
        <w:rPr>
          <w:rFonts w:ascii="TimesNewRoman" w:hAnsi="TimesNewRoman"/>
          <w:lang w:val="fr-BE"/>
        </w:rPr>
        <w:t xml:space="preserve">Phys. </w:t>
      </w:r>
      <w:r>
        <w:rPr>
          <w:rFonts w:ascii="TimesNewRoman" w:hAnsi="TimesNewRoman"/>
        </w:rPr>
        <w:t xml:space="preserve">Cont. </w:t>
      </w:r>
      <w:proofErr w:type="spellStart"/>
      <w:proofErr w:type="gramStart"/>
      <w:r>
        <w:rPr>
          <w:rFonts w:ascii="TimesNewRoman" w:hAnsi="TimesNewRoman"/>
        </w:rPr>
        <w:t>Fus</w:t>
      </w:r>
      <w:proofErr w:type="spellEnd"/>
      <w:r>
        <w:rPr>
          <w:rFonts w:ascii="TimesNewRoman" w:hAnsi="TimesNewRoman"/>
        </w:rPr>
        <w:t>.</w:t>
      </w:r>
      <w:proofErr w:type="gramEnd"/>
      <w:r>
        <w:rPr>
          <w:rFonts w:ascii="TimesNewRoman" w:hAnsi="TimesNewRoman"/>
        </w:rPr>
        <w:t xml:space="preserve"> 55, 124003 (2013)</w:t>
      </w:r>
    </w:p>
  </w:footnote>
  <w:footnote w:id="54">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t xml:space="preserve">High </w:t>
      </w:r>
      <w:r>
        <w:rPr>
          <w:rFonts w:ascii="TimesNewRoman" w:hAnsi="TimesNewRoman"/>
        </w:rPr>
        <w:t>impact journals are defined to be the top 10% (in terms of SJR index) of all journals within a given scientific category. Data retrieved on 14 September 2015</w:t>
      </w:r>
    </w:p>
  </w:footnote>
  <w:footnote w:id="55">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t>SJR - Journal Rank Indicator, it is a measure of journal's impact, influence or prestige. It ex</w:t>
      </w:r>
      <w:r>
        <w:rPr>
          <w:rFonts w:ascii="TimesNewRoman" w:hAnsi="TimesNewRoman"/>
        </w:rPr>
        <w:t>presses the average number of weighted citations received in the selected year by the documents published in the journal in the three previous years (2011)</w:t>
      </w:r>
    </w:p>
  </w:footnote>
  <w:footnote w:id="56">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t xml:space="preserve">Preliminary draft data from 2015 survey carried out by </w:t>
      </w:r>
      <w:proofErr w:type="spellStart"/>
      <w:r>
        <w:rPr>
          <w:rFonts w:ascii="TimesNewRoman" w:hAnsi="TimesNewRoman"/>
        </w:rPr>
        <w:t>EUROfusion</w:t>
      </w:r>
      <w:proofErr w:type="spellEnd"/>
      <w:r>
        <w:rPr>
          <w:rFonts w:ascii="TimesNewRoman" w:hAnsi="TimesNewRoman"/>
        </w:rPr>
        <w:t>.</w:t>
      </w:r>
    </w:p>
  </w:footnote>
  <w:footnote w:id="57">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t>Accelerator Driven Systems</w:t>
      </w:r>
    </w:p>
  </w:footnote>
  <w:footnote w:id="58">
    <w:p w:rsidR="00E535A0" w:rsidRDefault="00C953F5">
      <w:pPr>
        <w:pStyle w:val="Funotentext"/>
        <w:rPr>
          <w:rFonts w:ascii="TimesNewRoman" w:hAnsi="TimesNewRoman"/>
        </w:rPr>
      </w:pPr>
      <w:r>
        <w:rPr>
          <w:rStyle w:val="Funotenzeichen"/>
          <w:rFonts w:ascii="TimesNewRoman" w:hAnsi="TimesNewRoman"/>
        </w:rPr>
        <w:footnoteRef/>
      </w:r>
      <w:r>
        <w:rPr>
          <w:rFonts w:ascii="TimesNewRoman" w:hAnsi="TimesNewRoman"/>
        </w:rPr>
        <w:t xml:space="preserve"> </w:t>
      </w:r>
      <w:r>
        <w:rPr>
          <w:rFonts w:ascii="TimesNewRoman" w:hAnsi="TimesNewRoman"/>
        </w:rPr>
        <w:tab/>
      </w:r>
      <w:hyperlink r:id="rId10" w:history="1">
        <w:r>
          <w:rPr>
            <w:rStyle w:val="Hyperlink"/>
            <w:rFonts w:ascii="TimesNewRoman" w:hAnsi="TimesNewRoman"/>
          </w:rPr>
          <w:t>http://myrrha.sckcen.be/</w:t>
        </w:r>
      </w:hyperlink>
      <w:r>
        <w:rPr>
          <w:rFonts w:ascii="TimesNewRoman" w:hAnsi="TimesNewRoman"/>
        </w:rPr>
        <w:t xml:space="preserve"> </w:t>
      </w:r>
    </w:p>
  </w:footnote>
  <w:footnote w:id="59">
    <w:p w:rsidR="00E535A0" w:rsidRDefault="00C953F5">
      <w:pPr>
        <w:pStyle w:val="Funotentext"/>
      </w:pPr>
      <w:r>
        <w:rPr>
          <w:rStyle w:val="Funotenzeichen"/>
        </w:rPr>
        <w:footnoteRef/>
      </w:r>
      <w:r>
        <w:t xml:space="preserve"> </w:t>
      </w:r>
      <w:r>
        <w:tab/>
        <w:t xml:space="preserve">Commission Staff Working Document, </w:t>
      </w:r>
      <w:r>
        <w:rPr>
          <w:i/>
        </w:rPr>
        <w:t>Joint Technology Initiatives: Background, State-of-Play and Main Features</w:t>
      </w:r>
      <w:r>
        <w:t xml:space="preserve">, </w:t>
      </w:r>
      <w:proofErr w:type="gramStart"/>
      <w:r>
        <w:t>SEC(</w:t>
      </w:r>
      <w:proofErr w:type="gramEnd"/>
      <w:r>
        <w:t xml:space="preserve">2007) 692, 15.05.2007. See the rationale in the Commission Staff Working Document, </w:t>
      </w:r>
      <w:r>
        <w:rPr>
          <w:i/>
        </w:rPr>
        <w:t>Report on European Technology Platforms and Joint Technology Initiatives: Fostering Public-Private R&amp;D Partnerships to Boost Europe’s Industrial Competitiveness, SEC(2</w:t>
      </w:r>
      <w:r>
        <w:rPr>
          <w:i/>
        </w:rPr>
        <w:t>005) 800, 10.6.2005.</w:t>
      </w:r>
    </w:p>
  </w:footnote>
  <w:footnote w:id="60">
    <w:p w:rsidR="00E535A0" w:rsidRDefault="00C953F5">
      <w:pPr>
        <w:pStyle w:val="Funotentext"/>
      </w:pPr>
      <w:r>
        <w:rPr>
          <w:rStyle w:val="Funotenzeichen"/>
        </w:rPr>
        <w:footnoteRef/>
      </w:r>
      <w:r>
        <w:t xml:space="preserve"> </w:t>
      </w:r>
      <w:r>
        <w:tab/>
        <w:t>The Cooperation Specific Programme identified six Joint Technology Initiatives, including apart from the five which were launched, the Global Monitoring for Environment and Security (GMES) under the Space research theme. However GME</w:t>
      </w:r>
      <w:r>
        <w:t>S has been implemented not as a JTI but through an agreement with ESA and research grants, on the basis of a decision taken after the launch of the FP.</w:t>
      </w:r>
    </w:p>
  </w:footnote>
  <w:footnote w:id="61">
    <w:p w:rsidR="00E535A0" w:rsidRDefault="00C953F5">
      <w:pPr>
        <w:autoSpaceDE w:val="0"/>
        <w:autoSpaceDN w:val="0"/>
        <w:adjustRightInd w:val="0"/>
        <w:spacing w:after="0"/>
        <w:ind w:left="720" w:hanging="720"/>
        <w:rPr>
          <w:rFonts w:ascii="Times New Roman" w:hAnsi="Times New Roman" w:cs="Times New Roman"/>
          <w:bCs/>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bCs/>
          <w:sz w:val="20"/>
          <w:szCs w:val="20"/>
        </w:rPr>
        <w:t>COUNCIL REGULATION (EC) No 73/2008 of 20 December 2007 setting up the Joint Undertaking for the imple</w:t>
      </w:r>
      <w:r>
        <w:rPr>
          <w:rFonts w:ascii="Times New Roman" w:hAnsi="Times New Roman" w:cs="Times New Roman"/>
          <w:bCs/>
          <w:sz w:val="20"/>
          <w:szCs w:val="20"/>
        </w:rPr>
        <w:t>mentation of the Joint Technology Initiative on Innovative Medicines</w:t>
      </w:r>
      <w:r>
        <w:rPr>
          <w:rFonts w:ascii="Times New Roman" w:hAnsi="Times New Roman" w:cs="Times New Roman"/>
          <w:b/>
          <w:bCs/>
          <w:sz w:val="20"/>
          <w:szCs w:val="20"/>
        </w:rPr>
        <w:t xml:space="preserve">, </w:t>
      </w:r>
      <w:r>
        <w:rPr>
          <w:rFonts w:ascii="Times New Roman" w:hAnsi="Times New Roman" w:cs="Times New Roman"/>
          <w:sz w:val="20"/>
          <w:szCs w:val="20"/>
        </w:rPr>
        <w:t>Official Journal of the European Union, 4.2.2008</w:t>
      </w:r>
    </w:p>
  </w:footnote>
  <w:footnote w:id="62">
    <w:p w:rsidR="00E535A0" w:rsidRDefault="00C953F5">
      <w:pPr>
        <w:pStyle w:val="Funotentext"/>
        <w:ind w:right="-284"/>
      </w:pPr>
      <w:r>
        <w:rPr>
          <w:rStyle w:val="Funotenzeichen"/>
        </w:rPr>
        <w:footnoteRef/>
      </w:r>
      <w:r>
        <w:t xml:space="preserve"> </w:t>
      </w:r>
      <w:r>
        <w:tab/>
      </w:r>
      <w:proofErr w:type="gramStart"/>
      <w:r>
        <w:t>European Federation of Pharmaceutical Industries and Associations (EFPIA).</w:t>
      </w:r>
      <w:proofErr w:type="gramEnd"/>
    </w:p>
  </w:footnote>
  <w:footnote w:id="63">
    <w:p w:rsidR="00E535A0" w:rsidRDefault="00C953F5">
      <w:pPr>
        <w:autoSpaceDE w:val="0"/>
        <w:autoSpaceDN w:val="0"/>
        <w:adjustRightInd w:val="0"/>
        <w:spacing w:after="0"/>
        <w:ind w:left="720" w:hanging="720"/>
        <w:rPr>
          <w:rFonts w:ascii="Times New Roman" w:hAnsi="Times New Roman" w:cs="Times New Roman"/>
          <w:b/>
          <w:bCs/>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The findings are extracted from the</w:t>
      </w:r>
      <w:r>
        <w:rPr>
          <w:rFonts w:ascii="Times New Roman" w:hAnsi="Times New Roman" w:cs="Times New Roman"/>
          <w:i/>
          <w:sz w:val="20"/>
          <w:szCs w:val="20"/>
        </w:rPr>
        <w:t xml:space="preserve"> Second</w:t>
      </w:r>
      <w:r>
        <w:rPr>
          <w:rFonts w:ascii="Times New Roman" w:hAnsi="Times New Roman" w:cs="Times New Roman"/>
          <w:sz w:val="20"/>
          <w:szCs w:val="20"/>
        </w:rPr>
        <w:t xml:space="preserve"> </w:t>
      </w:r>
      <w:r>
        <w:rPr>
          <w:rFonts w:ascii="Times New Roman" w:hAnsi="Times New Roman" w:cs="Times New Roman"/>
          <w:bCs/>
          <w:i/>
          <w:sz w:val="20"/>
          <w:szCs w:val="20"/>
        </w:rPr>
        <w:t>Interim Evalu</w:t>
      </w:r>
      <w:r>
        <w:rPr>
          <w:rFonts w:ascii="Times New Roman" w:hAnsi="Times New Roman" w:cs="Times New Roman"/>
          <w:bCs/>
          <w:i/>
          <w:sz w:val="20"/>
          <w:szCs w:val="20"/>
        </w:rPr>
        <w:t>ation of the Innovative Medicines Initiative Joint Undertaking</w:t>
      </w:r>
      <w:r>
        <w:rPr>
          <w:rFonts w:ascii="Times New Roman" w:hAnsi="Times New Roman" w:cs="Times New Roman"/>
          <w:bCs/>
          <w:sz w:val="20"/>
          <w:szCs w:val="20"/>
        </w:rPr>
        <w:t>, 2013.</w:t>
      </w:r>
    </w:p>
  </w:footnote>
  <w:footnote w:id="64">
    <w:p w:rsidR="00E535A0" w:rsidRDefault="00C953F5">
      <w:pPr>
        <w:spacing w:after="0"/>
        <w:ind w:left="720" w:right="-284" w:hanging="720"/>
        <w:rPr>
          <w:rFonts w:ascii="Times New Roman" w:hAnsi="Times New Roman" w:cs="Times New Roman"/>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Another example illustrates IM's impact: EU-AIMS </w:t>
      </w:r>
      <w:proofErr w:type="gramStart"/>
      <w:r>
        <w:rPr>
          <w:rFonts w:ascii="Times New Roman" w:hAnsi="Times New Roman" w:cs="Times New Roman"/>
          <w:sz w:val="20"/>
          <w:szCs w:val="20"/>
        </w:rPr>
        <w:t>is</w:t>
      </w:r>
      <w:proofErr w:type="gramEnd"/>
      <w:r>
        <w:rPr>
          <w:rFonts w:ascii="Times New Roman" w:hAnsi="Times New Roman" w:cs="Times New Roman"/>
          <w:sz w:val="20"/>
          <w:szCs w:val="20"/>
        </w:rPr>
        <w:t xml:space="preserve"> currently the largest world study on autism spectrum disorders. It has developed an animal model replicating a form of autism and d</w:t>
      </w:r>
      <w:r>
        <w:rPr>
          <w:rFonts w:ascii="Times New Roman" w:hAnsi="Times New Roman" w:cs="Times New Roman"/>
          <w:sz w:val="20"/>
          <w:szCs w:val="20"/>
        </w:rPr>
        <w:t>emonstrated that the condition can be reversed with specific therapy. This is crucial for clinical development of new treatments for autism. It has also demonstrated the 'father's age effect' as a risk factor for autism.</w:t>
      </w:r>
    </w:p>
  </w:footnote>
  <w:footnote w:id="65">
    <w:p w:rsidR="00E535A0" w:rsidRDefault="00C953F5">
      <w:pPr>
        <w:autoSpaceDE w:val="0"/>
        <w:autoSpaceDN w:val="0"/>
        <w:adjustRightInd w:val="0"/>
        <w:spacing w:after="0"/>
        <w:ind w:left="720" w:hanging="720"/>
        <w:rPr>
          <w:rFonts w:ascii="Times New Roman" w:hAnsi="Times New Roman" w:cs="Times New Roman"/>
          <w:b/>
          <w:bCs/>
          <w:sz w:val="20"/>
          <w:szCs w:val="20"/>
        </w:rPr>
      </w:pPr>
      <w:r>
        <w:rPr>
          <w:rStyle w:val="Funotenzeichen"/>
          <w:sz w:val="20"/>
          <w:szCs w:val="20"/>
        </w:rPr>
        <w:footnoteRef/>
      </w:r>
      <w:r>
        <w:rPr>
          <w:sz w:val="20"/>
          <w:szCs w:val="20"/>
        </w:rPr>
        <w:t xml:space="preserve"> </w:t>
      </w:r>
      <w:r>
        <w:rPr>
          <w:sz w:val="20"/>
          <w:szCs w:val="20"/>
        </w:rPr>
        <w:tab/>
      </w:r>
      <w:r>
        <w:rPr>
          <w:rFonts w:ascii="Times New Roman" w:hAnsi="Times New Roman" w:cs="Times New Roman"/>
          <w:bCs/>
          <w:sz w:val="20"/>
          <w:szCs w:val="20"/>
        </w:rPr>
        <w:t>COUNCIL REGULATION (EC) No 71/20</w:t>
      </w:r>
      <w:r>
        <w:rPr>
          <w:rFonts w:ascii="Times New Roman" w:hAnsi="Times New Roman" w:cs="Times New Roman"/>
          <w:bCs/>
          <w:sz w:val="20"/>
          <w:szCs w:val="20"/>
        </w:rPr>
        <w:t>07 of 20 December 2007 setting up the Clean Sky Joint Undertaking,</w:t>
      </w:r>
      <w:r>
        <w:rPr>
          <w:rFonts w:ascii="Times New Roman" w:hAnsi="Times New Roman" w:cs="Times New Roman"/>
          <w:b/>
          <w:bCs/>
          <w:sz w:val="20"/>
          <w:szCs w:val="20"/>
        </w:rPr>
        <w:t xml:space="preserve"> </w:t>
      </w:r>
      <w:r>
        <w:rPr>
          <w:rFonts w:ascii="Times New Roman" w:hAnsi="Times New Roman" w:cs="Times New Roman"/>
          <w:sz w:val="20"/>
          <w:szCs w:val="20"/>
        </w:rPr>
        <w:t>Official Journal of the European Union, 4.2.2008</w:t>
      </w:r>
    </w:p>
    <w:p w:rsidR="00E535A0" w:rsidRDefault="00E535A0">
      <w:pPr>
        <w:pStyle w:val="Funotentext"/>
      </w:pPr>
    </w:p>
  </w:footnote>
  <w:footnote w:id="66">
    <w:p w:rsidR="00E535A0" w:rsidRDefault="00C953F5">
      <w:pPr>
        <w:autoSpaceDE w:val="0"/>
        <w:autoSpaceDN w:val="0"/>
        <w:adjustRightInd w:val="0"/>
        <w:spacing w:after="0"/>
        <w:ind w:left="480" w:hanging="480"/>
        <w:rPr>
          <w:rFonts w:ascii="Times New Roman" w:hAnsi="Times New Roman" w:cs="Times New Roman"/>
          <w:bCs/>
          <w:sz w:val="20"/>
          <w:szCs w:val="20"/>
        </w:rPr>
      </w:pPr>
      <w:r>
        <w:rPr>
          <w:rStyle w:val="Funotenzeichen"/>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bCs/>
          <w:sz w:val="20"/>
          <w:szCs w:val="20"/>
        </w:rPr>
        <w:t>COUNCIL REGULATION (EC) No 521/2008 of 30 May 2008 setting up the Fuel Cells and Hydrogen Joint Undertaking,</w:t>
      </w:r>
      <w:r>
        <w:rPr>
          <w:rFonts w:ascii="Times New Roman" w:hAnsi="Times New Roman" w:cs="Times New Roman"/>
          <w:sz w:val="20"/>
          <w:szCs w:val="20"/>
        </w:rPr>
        <w:t xml:space="preserve"> Official Journal of the Eur</w:t>
      </w:r>
      <w:r>
        <w:rPr>
          <w:rFonts w:ascii="Times New Roman" w:hAnsi="Times New Roman" w:cs="Times New Roman"/>
          <w:sz w:val="20"/>
          <w:szCs w:val="20"/>
        </w:rPr>
        <w:t>opean Union,12.6.2008</w:t>
      </w:r>
    </w:p>
    <w:p w:rsidR="00E535A0" w:rsidRDefault="00E535A0">
      <w:pPr>
        <w:pStyle w:val="Funotentext"/>
      </w:pPr>
    </w:p>
  </w:footnote>
  <w:footnote w:id="67">
    <w:p w:rsidR="00E535A0" w:rsidRDefault="00C953F5">
      <w:pPr>
        <w:pStyle w:val="Funotentext"/>
      </w:pPr>
      <w:r>
        <w:rPr>
          <w:rStyle w:val="Funotenzeichen"/>
        </w:rPr>
        <w:footnoteRef/>
      </w:r>
      <w:r>
        <w:t xml:space="preserve"> </w:t>
      </w:r>
      <w:r>
        <w:tab/>
        <w:t>Data taken from the FCH JU Annual Report 2013</w:t>
      </w:r>
    </w:p>
  </w:footnote>
  <w:footnote w:id="68">
    <w:p w:rsidR="00E535A0" w:rsidRDefault="00C953F5">
      <w:pPr>
        <w:pStyle w:val="Funotentext"/>
      </w:pPr>
      <w:r>
        <w:rPr>
          <w:rStyle w:val="Funotenzeichen"/>
        </w:rPr>
        <w:footnoteRef/>
      </w:r>
      <w:r>
        <w:t xml:space="preserve"> </w:t>
      </w:r>
      <w:r>
        <w:tab/>
        <w:t xml:space="preserve">The survey was carried out by the FCH JU in March 2013 among 458 companies that are liaised to the FCH JU (154 people responded). The results of the survey are presented in the </w:t>
      </w:r>
      <w:r>
        <w:t>report “Trends in investments, jobs and turnover in the Fuel cells and Hydrogen sector”</w:t>
      </w:r>
    </w:p>
  </w:footnote>
  <w:footnote w:id="69">
    <w:p w:rsidR="00E535A0" w:rsidRDefault="00C953F5">
      <w:pPr>
        <w:pStyle w:val="Funotentext"/>
      </w:pPr>
      <w:r>
        <w:rPr>
          <w:rStyle w:val="Funotenzeichen"/>
        </w:rPr>
        <w:footnoteRef/>
      </w:r>
      <w:r>
        <w:t xml:space="preserve"> </w:t>
      </w:r>
      <w:r>
        <w:tab/>
        <w:t>It should be born in mind that hydrogen and fuel cells are a disruptive technology that works with novel devices requiring new manufacturing lines and infrastructure</w:t>
      </w:r>
      <w:r>
        <w:t>. Penetration is inevitably slow as is the build-up of jobs that can be clearly identified with the sector.</w:t>
      </w:r>
    </w:p>
  </w:footnote>
  <w:footnote w:id="70">
    <w:p w:rsidR="00E535A0" w:rsidRDefault="00C953F5">
      <w:pPr>
        <w:autoSpaceDE w:val="0"/>
        <w:autoSpaceDN w:val="0"/>
        <w:adjustRightInd w:val="0"/>
        <w:spacing w:after="0"/>
        <w:rPr>
          <w:b/>
          <w:bCs/>
          <w:sz w:val="20"/>
          <w:szCs w:val="20"/>
        </w:rPr>
      </w:pPr>
      <w:r>
        <w:rPr>
          <w:rStyle w:val="Funotenzeichen"/>
          <w:sz w:val="20"/>
          <w:szCs w:val="20"/>
        </w:rPr>
        <w:footnoteRef/>
      </w:r>
      <w:r>
        <w:rPr>
          <w:sz w:val="20"/>
          <w:szCs w:val="20"/>
        </w:rPr>
        <w:t xml:space="preserve"> </w:t>
      </w:r>
      <w:r>
        <w:rPr>
          <w:sz w:val="20"/>
          <w:szCs w:val="20"/>
        </w:rPr>
        <w:tab/>
      </w:r>
      <w:proofErr w:type="gramStart"/>
      <w:r>
        <w:rPr>
          <w:rFonts w:ascii="Times New Roman" w:hAnsi="Times New Roman" w:cs="Times New Roman"/>
          <w:bCs/>
          <w:i/>
          <w:sz w:val="20"/>
          <w:szCs w:val="20"/>
        </w:rPr>
        <w:t>Interim Evaluation</w:t>
      </w:r>
      <w:r>
        <w:rPr>
          <w:bCs/>
          <w:i/>
          <w:sz w:val="20"/>
          <w:szCs w:val="20"/>
        </w:rPr>
        <w:t xml:space="preserve"> of the European Metrology Research Programme</w:t>
      </w:r>
      <w:r>
        <w:rPr>
          <w:bCs/>
          <w:sz w:val="20"/>
          <w:szCs w:val="20"/>
        </w:rPr>
        <w:t>, 2011.</w:t>
      </w:r>
      <w:proofErr w:type="gramEnd"/>
    </w:p>
  </w:footnote>
  <w:footnote w:id="71">
    <w:p w:rsidR="00E535A0" w:rsidRDefault="00C953F5">
      <w:pPr>
        <w:pStyle w:val="Funotentext"/>
      </w:pPr>
      <w:r>
        <w:rPr>
          <w:rStyle w:val="Funotenzeichen"/>
        </w:rPr>
        <w:footnoteRef/>
      </w:r>
      <w:r>
        <w:t xml:space="preserve"> </w:t>
      </w:r>
      <w:r>
        <w:tab/>
      </w:r>
      <w:proofErr w:type="spellStart"/>
      <w:r>
        <w:t>Busquin</w:t>
      </w:r>
      <w:proofErr w:type="spellEnd"/>
      <w:r>
        <w:t xml:space="preserve">, P., </w:t>
      </w:r>
      <w:proofErr w:type="spellStart"/>
      <w:r>
        <w:t>Aarts</w:t>
      </w:r>
      <w:proofErr w:type="spellEnd"/>
      <w:r>
        <w:t xml:space="preserve">, E., </w:t>
      </w:r>
      <w:proofErr w:type="spellStart"/>
      <w:r>
        <w:t>Dózsa</w:t>
      </w:r>
      <w:proofErr w:type="spellEnd"/>
      <w:r>
        <w:t xml:space="preserve">, C., </w:t>
      </w:r>
      <w:proofErr w:type="spellStart"/>
      <w:r>
        <w:t>Mollenkopf</w:t>
      </w:r>
      <w:proofErr w:type="spellEnd"/>
      <w:r>
        <w:t xml:space="preserve">, H., </w:t>
      </w:r>
      <w:proofErr w:type="spellStart"/>
      <w:r>
        <w:t>Uusikyla</w:t>
      </w:r>
      <w:proofErr w:type="spellEnd"/>
      <w:proofErr w:type="gramStart"/>
      <w:r>
        <w:t>̈ ,</w:t>
      </w:r>
      <w:proofErr w:type="gramEnd"/>
      <w:r>
        <w:t xml:space="preserve"> P., &amp; S</w:t>
      </w:r>
      <w:r>
        <w:t>harpe, M. (2013). Final Evaluation of the Ambient Assisted Living Joint Programme. Brussels: European Commission.</w:t>
      </w:r>
    </w:p>
  </w:footnote>
  <w:footnote w:id="72">
    <w:p w:rsidR="00E535A0" w:rsidRDefault="00C953F5">
      <w:pPr>
        <w:autoSpaceDE w:val="0"/>
        <w:autoSpaceDN w:val="0"/>
        <w:adjustRightInd w:val="0"/>
        <w:spacing w:after="0"/>
        <w:ind w:left="720" w:hanging="720"/>
        <w:rPr>
          <w:rFonts w:ascii="Times New Roman" w:hAnsi="Times New Roman" w:cs="Times New Roman"/>
        </w:rPr>
      </w:pPr>
      <w:r>
        <w:rPr>
          <w:rStyle w:val="Funotenzeichen"/>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proofErr w:type="gramStart"/>
      <w:r>
        <w:rPr>
          <w:rFonts w:ascii="Times New Roman" w:hAnsi="Times New Roman" w:cs="Times New Roman"/>
          <w:color w:val="000000"/>
          <w:sz w:val="20"/>
          <w:szCs w:val="20"/>
        </w:rPr>
        <w:t>COM(</w:t>
      </w:r>
      <w:proofErr w:type="gramEnd"/>
      <w:r>
        <w:rPr>
          <w:rFonts w:ascii="Times New Roman" w:hAnsi="Times New Roman" w:cs="Times New Roman"/>
          <w:color w:val="000000"/>
          <w:sz w:val="20"/>
          <w:szCs w:val="20"/>
        </w:rPr>
        <w:t>2015) 34 final: REPORT FROM THE COMMISSION TO THE EUROPEAN PARLIAMENT AND THE COUNCIL: Interim Evaluation of the Joint Baltic Sea Resea</w:t>
      </w:r>
      <w:r>
        <w:rPr>
          <w:rFonts w:ascii="Times New Roman" w:hAnsi="Times New Roman" w:cs="Times New Roman"/>
          <w:color w:val="000000"/>
          <w:sz w:val="20"/>
          <w:szCs w:val="20"/>
        </w:rPr>
        <w:t xml:space="preserve">rch and Development Programme. </w:t>
      </w:r>
      <w:r>
        <w:rPr>
          <w:rFonts w:ascii="Times New Roman" w:hAnsi="Times New Roman" w:cs="Times New Roman"/>
          <w:color w:val="000000"/>
        </w:rPr>
        <w:t>BONUS</w:t>
      </w:r>
    </w:p>
  </w:footnote>
  <w:footnote w:id="73">
    <w:p w:rsidR="00E535A0" w:rsidRDefault="00C953F5">
      <w:pPr>
        <w:pStyle w:val="Funotentext"/>
      </w:pPr>
      <w:r>
        <w:rPr>
          <w:rStyle w:val="Funotenzeichen"/>
        </w:rPr>
        <w:footnoteRef/>
      </w:r>
      <w:r>
        <w:t xml:space="preserve"> </w:t>
      </w:r>
      <w:r>
        <w:tab/>
        <w:t xml:space="preserve">Energy, Environment, Health, Information &amp; Communication Technologies [only cognitive systems, interaction &amp; robotics], Research Infrastructures [only e-Infrastructures], Science in Society, Socioeconomic Sciences &amp; </w:t>
      </w:r>
      <w:r>
        <w:t>Humanities – see also other relevant annexes</w:t>
      </w:r>
    </w:p>
  </w:footnote>
  <w:footnote w:id="74">
    <w:p w:rsidR="00E535A0" w:rsidRDefault="00C953F5">
      <w:pPr>
        <w:pStyle w:val="Funotentext"/>
      </w:pPr>
      <w:r>
        <w:rPr>
          <w:rStyle w:val="Funotenzeichen"/>
        </w:rPr>
        <w:footnoteRef/>
      </w:r>
      <w:r>
        <w:t xml:space="preserve"> </w:t>
      </w:r>
      <w:r>
        <w:tab/>
        <w:t>This green open access mandate was implemented through special clause 39 in the Grant Agreement.</w:t>
      </w:r>
    </w:p>
  </w:footnote>
  <w:footnote w:id="75">
    <w:p w:rsidR="00E535A0" w:rsidRDefault="00C953F5">
      <w:pPr>
        <w:pStyle w:val="Funotentext"/>
        <w:rPr>
          <w:sz w:val="22"/>
        </w:rPr>
      </w:pPr>
      <w:r>
        <w:rPr>
          <w:rStyle w:val="Funotenzeichen"/>
          <w:sz w:val="22"/>
        </w:rPr>
        <w:footnoteRef/>
      </w:r>
      <w:r>
        <w:rPr>
          <w:rStyle w:val="Funotenzeichen"/>
          <w:sz w:val="22"/>
        </w:rPr>
        <w:t xml:space="preserve"> </w:t>
      </w:r>
      <w:r>
        <w:rPr>
          <w:sz w:val="22"/>
        </w:rPr>
        <w:tab/>
      </w:r>
      <w:r>
        <w:rPr>
          <w:rStyle w:val="Funotenzeichen"/>
          <w:sz w:val="22"/>
        </w:rPr>
        <w:t xml:space="preserve"> </w:t>
      </w:r>
      <w:r>
        <w:rPr>
          <w:rStyle w:val="Funotenzeichen"/>
          <w:vertAlign w:val="baseline"/>
        </w:rPr>
        <w:t xml:space="preserve">European Commission (2012) Survey on open access in FP7. </w:t>
      </w:r>
    </w:p>
  </w:footnote>
  <w:footnote w:id="76">
    <w:p w:rsidR="00E535A0" w:rsidRDefault="00C953F5">
      <w:pPr>
        <w:pStyle w:val="Funotentext"/>
        <w:ind w:left="480" w:hanging="480"/>
      </w:pPr>
      <w:r>
        <w:rPr>
          <w:rStyle w:val="Funotenzeichen"/>
        </w:rPr>
        <w:footnoteRef/>
      </w:r>
      <w:r>
        <w:t xml:space="preserve"> </w:t>
      </w:r>
      <w:hyperlink r:id="rId11" w:history="1">
        <w:r>
          <w:rPr>
            <w:rStyle w:val="Hyperlink"/>
          </w:rPr>
          <w:t>https://www.openaire.eu/postgrant/fp7-post-grant/pilot</w:t>
        </w:r>
      </w:hyperlink>
      <w:r>
        <w:t xml:space="preserve">. Central Application portal at https://postgrantoapilot.openaire.eu/#home </w:t>
      </w:r>
    </w:p>
  </w:footnote>
  <w:footnote w:id="77">
    <w:p w:rsidR="00E535A0" w:rsidRDefault="00C953F5">
      <w:pPr>
        <w:pStyle w:val="Funotentext"/>
        <w:ind w:left="480" w:hanging="480"/>
        <w:rPr>
          <w:b/>
        </w:rPr>
      </w:pPr>
      <w:r>
        <w:rPr>
          <w:rStyle w:val="Funotenzeichen"/>
        </w:rPr>
        <w:footnoteRef/>
      </w:r>
      <w:r>
        <w:t xml:space="preserve"> </w:t>
      </w:r>
      <w:r>
        <w:tab/>
        <w:t>See https://zenodo.org/collection/user-fp7postgrantoapilotoutputs</w:t>
      </w:r>
    </w:p>
  </w:footnote>
  <w:footnote w:id="78">
    <w:p w:rsidR="00E535A0" w:rsidRDefault="00C953F5">
      <w:pPr>
        <w:pStyle w:val="Funotentext"/>
      </w:pPr>
      <w:r>
        <w:rPr>
          <w:rStyle w:val="Funotenzeichen"/>
        </w:rPr>
        <w:footnoteRef/>
      </w:r>
      <w:r>
        <w:t xml:space="preserve"> </w:t>
      </w:r>
      <w:r>
        <w:tab/>
      </w:r>
      <w:r>
        <w:t>http://www.vinnova.se/upload/EPiStorePDF/va-08-11.pdf</w:t>
      </w:r>
    </w:p>
  </w:footnote>
  <w:footnote w:id="79">
    <w:p w:rsidR="00E535A0" w:rsidRDefault="00C953F5">
      <w:pPr>
        <w:pStyle w:val="Funotentext"/>
      </w:pPr>
      <w:r>
        <w:rPr>
          <w:rStyle w:val="Funotenzeichen"/>
        </w:rPr>
        <w:footnoteRef/>
      </w:r>
      <w:r>
        <w:t xml:space="preserve"> </w:t>
      </w:r>
      <w:r>
        <w:tab/>
        <w:t>http://www.technopolis-group.com/?report=evaluation-austrian-support-structures-fp-7-eureka-impact-analysis-eu-research-initiatives-austrian-research-innovation-system</w:t>
      </w:r>
    </w:p>
  </w:footnote>
  <w:footnote w:id="80">
    <w:p w:rsidR="00E535A0" w:rsidRDefault="00C953F5">
      <w:pPr>
        <w:pStyle w:val="Funotentext"/>
      </w:pPr>
      <w:r>
        <w:rPr>
          <w:rStyle w:val="Funotenzeichen"/>
        </w:rPr>
        <w:footnoteRef/>
      </w:r>
      <w:r>
        <w:t xml:space="preserve"> https://ec.europa.eu/research</w:t>
      </w:r>
      <w:r>
        <w:t>/evaluations/pdf/archive/fp7-evidence-base/national_impact_studies/evaluation_of_danish_participation_in_fp6_and_fp7_-_main_report.pdf#view=fit&amp;pagemode=none</w:t>
      </w:r>
    </w:p>
  </w:footnote>
  <w:footnote w:id="81">
    <w:p w:rsidR="00E535A0" w:rsidRDefault="00C953F5">
      <w:pPr>
        <w:pStyle w:val="Funotentext"/>
        <w:ind w:left="240" w:hanging="240"/>
      </w:pPr>
      <w:r>
        <w:rPr>
          <w:rStyle w:val="Funotenzeichen"/>
        </w:rPr>
        <w:footnoteRef/>
      </w:r>
      <w:r>
        <w:t>http://www.tc.cz/cs/storage/52d3b3922fa7db203f933bea1b168c36f55e3912?uid=52d3b3922fa7db203f933bea</w:t>
      </w:r>
      <w:r>
        <w:t>1b168c36f55e3912</w:t>
      </w:r>
    </w:p>
  </w:footnote>
  <w:footnote w:id="82">
    <w:p w:rsidR="00E535A0" w:rsidRDefault="00C953F5">
      <w:pPr>
        <w:pStyle w:val="Funotentext"/>
        <w:ind w:left="240" w:hanging="240"/>
      </w:pPr>
      <w:r>
        <w:rPr>
          <w:rStyle w:val="Funotenzeichen"/>
        </w:rPr>
        <w:footnoteRef/>
      </w:r>
      <w:r>
        <w:t>https://ec.europa.eu/research/evaluations/pdf/archive/fp7-evidence-base/national_impact_studies/impact_of_the_eu_rtd_framework_programme_on_the_uk.pdf</w:t>
      </w:r>
    </w:p>
  </w:footnote>
  <w:footnote w:id="83">
    <w:p w:rsidR="00E535A0" w:rsidRDefault="00C953F5">
      <w:pPr>
        <w:pStyle w:val="Funotentext"/>
        <w:ind w:left="240" w:hanging="240"/>
      </w:pPr>
      <w:r>
        <w:rPr>
          <w:rStyle w:val="Funotenzeichen"/>
        </w:rPr>
        <w:footnoteRef/>
      </w:r>
      <w:r>
        <w:t xml:space="preserve"> http://www.arhiv.mvzt.gov.si/fileadmin/mvzt.gov.si/pageuploads/pdf/7OP/UNDERREPRESENT</w:t>
      </w:r>
      <w:r>
        <w:t>-STUDIJA.pdf</w:t>
      </w:r>
    </w:p>
  </w:footnote>
  <w:footnote w:id="84">
    <w:p w:rsidR="00E535A0" w:rsidRDefault="00C953F5">
      <w:pPr>
        <w:spacing w:after="0"/>
        <w:ind w:left="240" w:hanging="240"/>
      </w:pPr>
      <w:r>
        <w:rPr>
          <w:rStyle w:val="Funotenzeichen"/>
          <w:sz w:val="20"/>
          <w:szCs w:val="20"/>
        </w:rPr>
        <w:footnoteRef/>
      </w:r>
      <w:r>
        <w:rPr>
          <w:sz w:val="20"/>
          <w:szCs w:val="20"/>
        </w:rPr>
        <w:t xml:space="preserve"> </w:t>
      </w:r>
      <w:r>
        <w:rPr>
          <w:sz w:val="20"/>
          <w:szCs w:val="20"/>
        </w:rPr>
        <w:tab/>
      </w:r>
      <w:r>
        <w:rPr>
          <w:rFonts w:ascii="Times New Roman" w:eastAsia="Times New Roman" w:hAnsi="Times New Roman" w:cs="Times New Roman"/>
          <w:iCs/>
          <w:sz w:val="20"/>
          <w:szCs w:val="20"/>
          <w:lang w:eastAsia="en-GB"/>
        </w:rPr>
        <w:t>www.sbfi.admin.ch/impakt-en</w:t>
      </w:r>
    </w:p>
  </w:footnote>
  <w:footnote w:id="85">
    <w:p w:rsidR="00E535A0" w:rsidRDefault="00C953F5">
      <w:pPr>
        <w:pStyle w:val="Funotentext"/>
        <w:ind w:left="240" w:hanging="240"/>
      </w:pPr>
      <w:r>
        <w:rPr>
          <w:rStyle w:val="Funotenzeichen"/>
        </w:rPr>
        <w:footnoteRef/>
      </w:r>
      <w:r>
        <w:t>https://www.regjeringen.no/globalassets/upload/kd/kampanjer/forskningsbarometeret/2013/research-barometer-2013.pdf</w:t>
      </w:r>
    </w:p>
  </w:footnote>
  <w:footnote w:id="86">
    <w:p w:rsidR="00E535A0" w:rsidRDefault="00C953F5">
      <w:pPr>
        <w:pStyle w:val="Funotentext"/>
        <w:ind w:left="240" w:hanging="240"/>
      </w:pPr>
      <w:r>
        <w:rPr>
          <w:rStyle w:val="Funotenzeichen"/>
        </w:rPr>
        <w:footnoteRef/>
      </w:r>
      <w:r>
        <w:t>https://ec.europa.eu/research/evaluations/pdf/archive/fp7-evidence-base/national_impact_studies</w:t>
      </w:r>
      <w:r>
        <w:t>/evaluation_of_the_norwegian_participation_in_the_eu_6th_framework_programme_(2003-2006)_and_the_first_part_of_the_eu_7th_framework_programme_(2007-2008).pdf#view=fit&amp;pagemode=none</w:t>
      </w:r>
    </w:p>
  </w:footnote>
  <w:footnote w:id="87">
    <w:p w:rsidR="00E535A0" w:rsidRDefault="00C953F5">
      <w:pPr>
        <w:pStyle w:val="Funotentext"/>
        <w:ind w:left="240" w:hanging="240"/>
      </w:pPr>
      <w:r>
        <w:rPr>
          <w:rStyle w:val="Funotenzeichen"/>
        </w:rPr>
        <w:footnoteRef/>
      </w:r>
      <w:r>
        <w:t xml:space="preserve"> http://www.technopolis-group.com/?report=motives-participation-framework-</w:t>
      </w:r>
      <w:r>
        <w:t>programme</w:t>
      </w:r>
    </w:p>
  </w:footnote>
  <w:footnote w:id="88">
    <w:p w:rsidR="00E535A0" w:rsidRDefault="00C953F5">
      <w:pPr>
        <w:pStyle w:val="Funotentext"/>
      </w:pPr>
      <w:r>
        <w:rPr>
          <w:rStyle w:val="Funotenzeichen"/>
        </w:rPr>
        <w:footnoteRef/>
      </w:r>
      <w:r>
        <w:t xml:space="preserve"> </w:t>
      </w:r>
      <w:r>
        <w:tab/>
        <w:t>This amount does not include the expenditures by ERC.</w:t>
      </w:r>
    </w:p>
  </w:footnote>
  <w:footnote w:id="89">
    <w:p w:rsidR="00E535A0" w:rsidRDefault="00C953F5">
      <w:pPr>
        <w:pStyle w:val="Funotentext"/>
        <w:rPr>
          <w:lang w:val="fr-BE"/>
        </w:rPr>
      </w:pPr>
      <w:r>
        <w:rPr>
          <w:rStyle w:val="Funotenzeichen"/>
        </w:rPr>
        <w:footnoteRef/>
      </w:r>
      <w:r>
        <w:rPr>
          <w:lang w:val="fr-BE"/>
        </w:rPr>
        <w:t xml:space="preserve"> </w:t>
      </w:r>
      <w:proofErr w:type="spellStart"/>
      <w:r>
        <w:rPr>
          <w:lang w:val="fr-BE"/>
        </w:rPr>
        <w:t>OpenAIRE</w:t>
      </w:r>
      <w:proofErr w:type="spellEnd"/>
      <w:r>
        <w:rPr>
          <w:lang w:val="fr-BE"/>
        </w:rPr>
        <w:t xml:space="preserve"> report DEC 2015</w:t>
      </w:r>
    </w:p>
  </w:footnote>
  <w:footnote w:id="90">
    <w:p w:rsidR="00E535A0" w:rsidRDefault="00C953F5">
      <w:pPr>
        <w:pStyle w:val="Funotentext"/>
        <w:rPr>
          <w:lang w:val="fr-BE"/>
        </w:rPr>
      </w:pPr>
      <w:r>
        <w:rPr>
          <w:rStyle w:val="Funotenzeichen"/>
        </w:rPr>
        <w:footnoteRef/>
      </w:r>
      <w:r>
        <w:rPr>
          <w:lang w:val="fr-BE"/>
        </w:rPr>
        <w:t xml:space="preserve"> </w:t>
      </w:r>
      <w:hyperlink r:id="rId12" w:history="1">
        <w:r>
          <w:rPr>
            <w:rStyle w:val="Hyperlink"/>
            <w:lang w:val="fr-BE"/>
          </w:rPr>
          <w:t>https://guidelines.openaire.eu/en/latest/literature/field_publica</w:t>
        </w:r>
        <w:r>
          <w:rPr>
            <w:rStyle w:val="Hyperlink"/>
            <w:lang w:val="fr-BE"/>
          </w:rPr>
          <w:t>tiontype.html</w:t>
        </w:r>
      </w:hyperlink>
    </w:p>
  </w:footnote>
  <w:footnote w:id="91">
    <w:p w:rsidR="00E535A0" w:rsidRDefault="00C953F5">
      <w:pPr>
        <w:pStyle w:val="Funotentext"/>
        <w:rPr>
          <w:lang w:val="fr-BE"/>
        </w:rPr>
      </w:pPr>
      <w:r>
        <w:rPr>
          <w:rStyle w:val="Funotenzeichen"/>
        </w:rPr>
        <w:footnoteRef/>
      </w:r>
      <w:r>
        <w:rPr>
          <w:lang w:val="fr-BE"/>
        </w:rPr>
        <w:t xml:space="preserve"> </w:t>
      </w:r>
      <w:r>
        <w:fldChar w:fldCharType="begin"/>
      </w:r>
      <w:r w:rsidRPr="00C953F5">
        <w:rPr>
          <w:lang w:val="fr-BE"/>
        </w:rPr>
        <w:instrText xml:space="preserve"> HYPERLINK "http://purl.org/coar/igcv/deliverables" </w:instrText>
      </w:r>
      <w:r>
        <w:fldChar w:fldCharType="separate"/>
      </w:r>
      <w:r>
        <w:rPr>
          <w:rStyle w:val="Hyperlink"/>
          <w:lang w:val="fr-BE"/>
        </w:rPr>
        <w:t>http://purl.org/coar/igcv/deliverables</w:t>
      </w:r>
      <w:r>
        <w:rPr>
          <w:rStyle w:val="Hyperlink"/>
          <w:lang w:val="fr-BE"/>
        </w:rPr>
        <w:fldChar w:fldCharType="end"/>
      </w:r>
    </w:p>
  </w:footnote>
  <w:footnote w:id="92">
    <w:p w:rsidR="00E535A0" w:rsidRDefault="00C953F5">
      <w:pPr>
        <w:pStyle w:val="Funotentext"/>
        <w:rPr>
          <w:lang w:val="en-US"/>
        </w:rPr>
      </w:pPr>
      <w:r>
        <w:rPr>
          <w:rStyle w:val="Funotenzeichen"/>
        </w:rPr>
        <w:footnoteRef/>
      </w:r>
      <w:r>
        <w:rPr>
          <w:lang w:val="en-US"/>
        </w:rPr>
        <w:t xml:space="preserve"> There are some cases that even if a DOI is not present, the journal is known.</w:t>
      </w:r>
    </w:p>
  </w:footnote>
  <w:footnote w:id="93">
    <w:p w:rsidR="00E535A0" w:rsidRDefault="00C953F5">
      <w:pPr>
        <w:pStyle w:val="Kommentartext"/>
        <w:rPr>
          <w:sz w:val="22"/>
          <w:lang w:val="en-US"/>
        </w:rPr>
      </w:pPr>
      <w:r>
        <w:rPr>
          <w:rStyle w:val="Funotenzeichen"/>
        </w:rPr>
        <w:footnoteRef/>
      </w:r>
      <w:r>
        <w:rPr>
          <w:lang w:val="en-US"/>
        </w:rPr>
        <w:t xml:space="preserve"> The </w:t>
      </w:r>
      <w:r>
        <w:rPr>
          <w:sz w:val="22"/>
          <w:lang w:val="en-US"/>
        </w:rPr>
        <w:t xml:space="preserve">median value X on </w:t>
      </w:r>
      <w:proofErr w:type="gramStart"/>
      <w:r>
        <w:rPr>
          <w:sz w:val="22"/>
          <w:lang w:val="en-US"/>
        </w:rPr>
        <w:t>authors</w:t>
      </w:r>
      <w:proofErr w:type="gramEnd"/>
      <w:r>
        <w:rPr>
          <w:sz w:val="22"/>
          <w:lang w:val="en-US"/>
        </w:rPr>
        <w:t xml:space="preserve"> means that more than 50% of public</w:t>
      </w:r>
      <w:r>
        <w:rPr>
          <w:sz w:val="22"/>
          <w:lang w:val="en-US"/>
        </w:rPr>
        <w:t>ations have at least X number of authors.</w:t>
      </w:r>
    </w:p>
    <w:p w:rsidR="00E535A0" w:rsidRDefault="00E535A0">
      <w:pPr>
        <w:pStyle w:val="Funotentext"/>
        <w:rPr>
          <w:lang w:val="en-US"/>
        </w:rPr>
      </w:pPr>
    </w:p>
  </w:footnote>
  <w:footnote w:id="94">
    <w:p w:rsidR="00E535A0" w:rsidRDefault="00C953F5">
      <w:pPr>
        <w:pStyle w:val="Funotentext"/>
      </w:pPr>
      <w:r>
        <w:rPr>
          <w:rStyle w:val="Funotenzeichen"/>
        </w:rPr>
        <w:footnoteRef/>
      </w:r>
      <w:r>
        <w:t xml:space="preserve"> The data in this table is based on </w:t>
      </w:r>
      <w:proofErr w:type="spellStart"/>
      <w:r>
        <w:t>OpenAIRE</w:t>
      </w:r>
      <w:proofErr w:type="spellEnd"/>
      <w:r>
        <w:t xml:space="preserve"> July data and should not skew the conclusions, as </w:t>
      </w:r>
      <w:proofErr w:type="spellStart"/>
      <w:r>
        <w:t>i</w:t>
      </w:r>
      <w:proofErr w:type="spellEnd"/>
      <w:r>
        <w:t>) it was calculated as an estimate based on full text, and ii) calculated distinct authors (by-passed deduplication)</w:t>
      </w:r>
      <w:r>
        <w:t>.</w:t>
      </w:r>
    </w:p>
  </w:footnote>
  <w:footnote w:id="95">
    <w:p w:rsidR="00E535A0" w:rsidRDefault="00C953F5">
      <w:pPr>
        <w:pStyle w:val="Funotentext"/>
      </w:pPr>
      <w:r>
        <w:rPr>
          <w:rStyle w:val="Funotenzeichen"/>
        </w:rPr>
        <w:footnoteRef/>
      </w:r>
      <w:r>
        <w:t xml:space="preserve"> The data in this table is based on </w:t>
      </w:r>
      <w:proofErr w:type="spellStart"/>
      <w:r>
        <w:t>OpenAIRE</w:t>
      </w:r>
      <w:proofErr w:type="spellEnd"/>
      <w:r>
        <w:t xml:space="preserve"> July data and should not skew the conclusions, as </w:t>
      </w:r>
      <w:proofErr w:type="spellStart"/>
      <w:r>
        <w:t>i</w:t>
      </w:r>
      <w:proofErr w:type="spellEnd"/>
      <w:r>
        <w:t>) it was calculated as an estimate based on full text, and ii) calculated distinct authors (by-passed deduplication).</w:t>
      </w:r>
    </w:p>
  </w:footnote>
  <w:footnote w:id="96">
    <w:p w:rsidR="00E535A0" w:rsidRDefault="00C953F5">
      <w:pPr>
        <w:pStyle w:val="Funotentext"/>
      </w:pPr>
      <w:r>
        <w:rPr>
          <w:rStyle w:val="Funotenzeichen"/>
        </w:rPr>
        <w:footnoteRef/>
      </w:r>
      <w:r>
        <w:t xml:space="preserve"> </w:t>
      </w:r>
      <w:r>
        <w:tab/>
        <w:t xml:space="preserve">See: </w:t>
      </w:r>
      <w:hyperlink r:id="rId13" w:history="1">
        <w:r>
          <w:rPr>
            <w:rStyle w:val="Hyperlink"/>
          </w:rPr>
          <w:t>http://ec.europa.eu/eurostat/web/microdata/community-innovation-survey</w:t>
        </w:r>
      </w:hyperlink>
      <w:r>
        <w:t xml:space="preserve"> and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HeaderLandscap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p w:rsidR="00E535A0" w:rsidRDefault="00E535A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p w:rsidR="00E535A0" w:rsidRDefault="00E535A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p w:rsidR="00E535A0" w:rsidRDefault="00E535A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HeaderLandscap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HeaderLandscap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A0" w:rsidRDefault="00E535A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ennumm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661167"/>
    <w:multiLevelType w:val="hybridMultilevel"/>
    <w:tmpl w:val="8362A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2685D"/>
    <w:multiLevelType w:val="singleLevel"/>
    <w:tmpl w:val="D96C95A2"/>
    <w:lvl w:ilvl="0">
      <w:start w:val="1"/>
      <w:numFmt w:val="bullet"/>
      <w:pStyle w:val="Aufzhlungszeichen4"/>
      <w:lvlText w:val=""/>
      <w:lvlJc w:val="left"/>
      <w:pPr>
        <w:tabs>
          <w:tab w:val="num" w:pos="3163"/>
        </w:tabs>
        <w:ind w:left="3163" w:hanging="283"/>
      </w:pPr>
      <w:rPr>
        <w:rFonts w:ascii="Symbol" w:hAnsi="Symbol"/>
      </w:rPr>
    </w:lvl>
  </w:abstractNum>
  <w:abstractNum w:abstractNumId="3">
    <w:nsid w:val="143D0A16"/>
    <w:multiLevelType w:val="singleLevel"/>
    <w:tmpl w:val="01FA5668"/>
    <w:lvl w:ilvl="0">
      <w:start w:val="1"/>
      <w:numFmt w:val="bullet"/>
      <w:pStyle w:val="Aufzhlungszeichen3"/>
      <w:lvlText w:val=""/>
      <w:lvlJc w:val="left"/>
      <w:pPr>
        <w:tabs>
          <w:tab w:val="num" w:pos="2199"/>
        </w:tabs>
        <w:ind w:left="2199" w:hanging="283"/>
      </w:pPr>
      <w:rPr>
        <w:rFonts w:ascii="Symbol" w:hAnsi="Symbol"/>
      </w:rPr>
    </w:lvl>
  </w:abstractNum>
  <w:abstractNum w:abstractNumId="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5">
    <w:nsid w:val="24CC593B"/>
    <w:multiLevelType w:val="hybridMultilevel"/>
    <w:tmpl w:val="F392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8D5AD3"/>
    <w:multiLevelType w:val="singleLevel"/>
    <w:tmpl w:val="82EE6B70"/>
    <w:lvl w:ilvl="0">
      <w:start w:val="1"/>
      <w:numFmt w:val="bullet"/>
      <w:pStyle w:val="Aufzhlungszeichen2"/>
      <w:lvlText w:val=""/>
      <w:lvlJc w:val="left"/>
      <w:pPr>
        <w:tabs>
          <w:tab w:val="num" w:pos="1360"/>
        </w:tabs>
        <w:ind w:left="1360" w:hanging="283"/>
      </w:pPr>
      <w:rPr>
        <w:rFonts w:ascii="Symbol" w:hAnsi="Symbol"/>
      </w:rPr>
    </w:lvl>
  </w:abstractNum>
  <w:abstractNum w:abstractNumId="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8">
    <w:nsid w:val="428415E7"/>
    <w:multiLevelType w:val="multilevel"/>
    <w:tmpl w:val="92100ADA"/>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5481EA4"/>
    <w:multiLevelType w:val="multilevel"/>
    <w:tmpl w:val="28525E6E"/>
    <w:lvl w:ilvl="0">
      <w:start w:val="1"/>
      <w:numFmt w:val="decimal"/>
      <w:pStyle w:val="Listennumm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8860AAB"/>
    <w:multiLevelType w:val="multilevel"/>
    <w:tmpl w:val="E8744BD2"/>
    <w:lvl w:ilvl="0">
      <w:start w:val="1"/>
      <w:numFmt w:val="decimal"/>
      <w:pStyle w:val="Listennumm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4BD0BEC"/>
    <w:multiLevelType w:val="singleLevel"/>
    <w:tmpl w:val="72D6F376"/>
    <w:lvl w:ilvl="0">
      <w:start w:val="1"/>
      <w:numFmt w:val="bullet"/>
      <w:pStyle w:val="Aufzhlungszeichen"/>
      <w:lvlText w:val=""/>
      <w:lvlJc w:val="left"/>
      <w:pPr>
        <w:tabs>
          <w:tab w:val="num" w:pos="283"/>
        </w:tabs>
        <w:ind w:left="283" w:hanging="283"/>
      </w:pPr>
      <w:rPr>
        <w:rFonts w:ascii="Symbol" w:hAnsi="Symbol"/>
      </w:rPr>
    </w:lvl>
  </w:abstractNum>
  <w:abstractNum w:abstractNumId="13">
    <w:nsid w:val="64A12FA4"/>
    <w:multiLevelType w:val="multilevel"/>
    <w:tmpl w:val="CE1A3832"/>
    <w:name w:val="Heading"/>
    <w:lvl w:ilvl="0">
      <w:start w:val="11"/>
      <w:numFmt w:val="decimal"/>
      <w:lvlRestart w:val="0"/>
      <w:pStyle w:val="berschrift1"/>
      <w:lvlText w:val="%1."/>
      <w:lvlJc w:val="left"/>
      <w:pPr>
        <w:tabs>
          <w:tab w:val="num" w:pos="850"/>
        </w:tabs>
        <w:ind w:left="850" w:hanging="850"/>
      </w:pPr>
      <w:rPr>
        <w:rFonts w:hint="default"/>
      </w:rPr>
    </w:lvl>
    <w:lvl w:ilvl="1">
      <w:start w:val="1"/>
      <w:numFmt w:val="decimal"/>
      <w:pStyle w:val="berschrift2"/>
      <w:lvlText w:val="%1.%2."/>
      <w:lvlJc w:val="left"/>
      <w:pPr>
        <w:tabs>
          <w:tab w:val="num" w:pos="850"/>
        </w:tabs>
        <w:ind w:left="850" w:hanging="850"/>
      </w:pPr>
      <w:rPr>
        <w:rFonts w:hint="default"/>
      </w:rPr>
    </w:lvl>
    <w:lvl w:ilvl="2">
      <w:start w:val="1"/>
      <w:numFmt w:val="decimal"/>
      <w:pStyle w:val="berschrift3"/>
      <w:lvlText w:val="%1.%2.%3."/>
      <w:lvlJc w:val="left"/>
      <w:pPr>
        <w:tabs>
          <w:tab w:val="num" w:pos="850"/>
        </w:tabs>
        <w:ind w:left="850" w:hanging="850"/>
      </w:pPr>
      <w:rPr>
        <w:rFonts w:hint="default"/>
      </w:rPr>
    </w:lvl>
    <w:lvl w:ilvl="3">
      <w:start w:val="1"/>
      <w:numFmt w:val="decimal"/>
      <w:pStyle w:val="berschrift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
    <w:nsid w:val="6F2406EF"/>
    <w:multiLevelType w:val="hybridMultilevel"/>
    <w:tmpl w:val="41523918"/>
    <w:lvl w:ilvl="0" w:tplc="696023F4">
      <w:start w:val="29"/>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8"/>
  </w:num>
  <w:num w:numId="4">
    <w:abstractNumId w:val="1"/>
  </w:num>
  <w:num w:numId="5">
    <w:abstractNumId w:val="12"/>
  </w:num>
  <w:num w:numId="6">
    <w:abstractNumId w:val="7"/>
  </w:num>
  <w:num w:numId="7">
    <w:abstractNumId w:val="6"/>
  </w:num>
  <w:num w:numId="8">
    <w:abstractNumId w:val="3"/>
  </w:num>
  <w:num w:numId="9">
    <w:abstractNumId w:val="2"/>
  </w:num>
  <w:num w:numId="10">
    <w:abstractNumId w:val="14"/>
  </w:num>
  <w:num w:numId="11">
    <w:abstractNumId w:val="16"/>
  </w:num>
  <w:num w:numId="12">
    <w:abstractNumId w:val="15"/>
  </w:num>
  <w:num w:numId="13">
    <w:abstractNumId w:val="17"/>
  </w:num>
  <w:num w:numId="14">
    <w:abstractNumId w:val="4"/>
  </w:num>
  <w:num w:numId="15">
    <w:abstractNumId w:val="8"/>
  </w:num>
  <w:num w:numId="16">
    <w:abstractNumId w:val="10"/>
  </w:num>
  <w:num w:numId="17">
    <w:abstractNumId w:val="9"/>
  </w:num>
  <w:num w:numId="18">
    <w:abstractNumId w:val="0"/>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B7EAA71ADEEF4423A05683181D65B4A9"/>
    <w:docVar w:name="LW_CROSSREFERENCE" w:val="{COM(2016) 5 final}_x000b_{SWD(2016) 1 final}"/>
    <w:docVar w:name="LW_DocType" w:val="NORMAL"/>
    <w:docVar w:name="LW_EMISSION" w:val="19.1.2016"/>
    <w:docVar w:name="LW_EMISSION_ISODATE" w:val="2016-01-19"/>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the Response to the Report of the High Level Expert Group on the Ex-Post Evaluation of the Seventh Framework Programme"/>
    <w:docVar w:name="LW_PART_NBR" w:val="3"/>
    <w:docVar w:name="LW_PART_NBR_TOTAL" w:val="3"/>
    <w:docVar w:name="LW_REF.INST.NEW" w:val="SWD"/>
    <w:docVar w:name="LW_REF.INST.NEW_ADOPTED" w:val="final"/>
    <w:docVar w:name="LW_REF.INST.NEW_TEXT" w:val="(2016) 2"/>
    <w:docVar w:name="LW_REF.INTERNE" w:val="&lt;UNUSED&gt;"/>
    <w:docVar w:name="LW_SUPERTITRE" w:val="Ex-Post Evaluation of the Seventh Framework Programme"/>
    <w:docVar w:name="LW_TITRE.OBJ.CP" w:val="Annexes"/>
    <w:docVar w:name="LW_TYPE.DOC.CP" w:val="COMMISSION STAFF WORKING DOCUMENT"/>
    <w:docVar w:name="LW_TYPEACTEPRINCIPAL.CP" w:val="COMMUNICATION FROM THE COMMMISSION TO THE COUNCIL, THE EUROPEAN PARLIAMENT, THE EUROPEAN ECONOMIC AND SOCIAL COMMITTEE AND THE COMMITTEE OF THE REGIONS"/>
  </w:docVars>
  <w:rsids>
    <w:rsidRoot w:val="00E535A0"/>
    <w:rsid w:val="00C953F5"/>
    <w:rsid w:val="00E53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rd">
    <w:name w:val="Normal"/>
    <w:qFormat/>
  </w:style>
  <w:style w:type="paragraph" w:styleId="berschrift1">
    <w:name w:val="heading 1"/>
    <w:basedOn w:val="Standard"/>
    <w:next w:val="Standard"/>
    <w:link w:val="berschrift1Zchn"/>
    <w:uiPriority w:val="9"/>
    <w:qFormat/>
    <w:pPr>
      <w:keepNext/>
      <w:numPr>
        <w:numId w:val="1"/>
      </w:numPr>
      <w:spacing w:before="360" w:after="120" w:line="240" w:lineRule="auto"/>
      <w:jc w:val="both"/>
      <w:outlineLvl w:val="0"/>
    </w:pPr>
    <w:rPr>
      <w:rFonts w:ascii="Times New Roman" w:eastAsiaTheme="majorEastAsia" w:hAnsi="Times New Roman" w:cs="Times New Roman"/>
      <w:b/>
      <w:bCs/>
      <w:smallCaps/>
      <w:sz w:val="24"/>
      <w:szCs w:val="28"/>
    </w:rPr>
  </w:style>
  <w:style w:type="paragraph" w:styleId="berschrift2">
    <w:name w:val="heading 2"/>
    <w:basedOn w:val="Standard"/>
    <w:next w:val="Standard"/>
    <w:link w:val="berschrift2Zchn"/>
    <w:uiPriority w:val="9"/>
    <w:unhideWhenUsed/>
    <w:qFormat/>
    <w:pPr>
      <w:keepNext/>
      <w:numPr>
        <w:ilvl w:val="1"/>
        <w:numId w:val="1"/>
      </w:numPr>
      <w:spacing w:before="120" w:after="120" w:line="240" w:lineRule="auto"/>
      <w:jc w:val="both"/>
      <w:outlineLvl w:val="1"/>
    </w:pPr>
    <w:rPr>
      <w:rFonts w:ascii="Times New Roman" w:eastAsiaTheme="majorEastAsia" w:hAnsi="Times New Roman" w:cs="Times New Roman"/>
      <w:b/>
      <w:bCs/>
      <w:sz w:val="24"/>
      <w:szCs w:val="26"/>
    </w:rPr>
  </w:style>
  <w:style w:type="paragraph" w:styleId="berschrift3">
    <w:name w:val="heading 3"/>
    <w:basedOn w:val="Standard"/>
    <w:next w:val="Standard"/>
    <w:link w:val="berschrift3Zchn"/>
    <w:uiPriority w:val="9"/>
    <w:unhideWhenUsed/>
    <w:qFormat/>
    <w:pPr>
      <w:keepNext/>
      <w:numPr>
        <w:ilvl w:val="2"/>
        <w:numId w:val="1"/>
      </w:numPr>
      <w:spacing w:before="120" w:after="120" w:line="240" w:lineRule="auto"/>
      <w:jc w:val="both"/>
      <w:outlineLvl w:val="2"/>
    </w:pPr>
    <w:rPr>
      <w:rFonts w:ascii="Times New Roman" w:eastAsiaTheme="majorEastAsia" w:hAnsi="Times New Roman" w:cs="Times New Roman"/>
      <w:bCs/>
      <w:i/>
      <w:sz w:val="24"/>
    </w:rPr>
  </w:style>
  <w:style w:type="paragraph" w:styleId="berschrift4">
    <w:name w:val="heading 4"/>
    <w:basedOn w:val="Standard"/>
    <w:next w:val="Standard"/>
    <w:link w:val="berschrift4Zchn"/>
    <w:uiPriority w:val="9"/>
    <w:unhideWhenUsed/>
    <w:qFormat/>
    <w:pPr>
      <w:keepNext/>
      <w:numPr>
        <w:ilvl w:val="3"/>
        <w:numId w:val="1"/>
      </w:numPr>
      <w:spacing w:before="120" w:after="120" w:line="240" w:lineRule="auto"/>
      <w:jc w:val="both"/>
      <w:outlineLvl w:val="3"/>
    </w:pPr>
    <w:rPr>
      <w:rFonts w:ascii="Times New Roman" w:eastAsiaTheme="majorEastAsia" w:hAnsi="Times New Roman" w:cs="Times New Roman"/>
      <w:bCs/>
      <w:i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r">
    <w:name w:val="Marker"/>
    <w:basedOn w:val="Absatz-Standardschriftart"/>
    <w:rPr>
      <w:color w:val="0000FF"/>
      <w:shd w:val="clear" w:color="auto" w:fill="auto"/>
    </w:rPr>
  </w:style>
  <w:style w:type="paragraph" w:customStyle="1" w:styleId="Pagedecouverture">
    <w:name w:val="Page de couverture"/>
    <w:basedOn w:val="Standard"/>
    <w:next w:val="Standard"/>
    <w:pPr>
      <w:spacing w:after="0" w:line="240" w:lineRule="auto"/>
      <w:jc w:val="both"/>
    </w:pPr>
    <w:rPr>
      <w:rFonts w:ascii="Times New Roman" w:hAnsi="Times New Roman" w:cs="Times New Roman"/>
      <w:sz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Typedudocument">
    <w:name w:val="Type du document"/>
    <w:basedOn w:val="Standard"/>
    <w:next w:val="Standard"/>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Standard"/>
    <w:next w:val="Standard"/>
    <w:pPr>
      <w:spacing w:before="360" w:after="360" w:line="240" w:lineRule="auto"/>
      <w:jc w:val="center"/>
    </w:pPr>
    <w:rPr>
      <w:rFonts w:ascii="Times New Roman" w:hAnsi="Times New Roman" w:cs="Times New Roman"/>
      <w:b/>
      <w:sz w:val="24"/>
    </w:rPr>
  </w:style>
  <w:style w:type="paragraph" w:customStyle="1" w:styleId="Accompagnant">
    <w:name w:val="Accompagnant"/>
    <w:basedOn w:val="Standard"/>
    <w:next w:val="Standard"/>
    <w:pPr>
      <w:spacing w:after="240" w:line="240" w:lineRule="auto"/>
      <w:jc w:val="center"/>
    </w:pPr>
    <w:rPr>
      <w:rFonts w:ascii="Times New Roman" w:hAnsi="Times New Roman" w:cs="Times New Roman"/>
      <w:b/>
      <w:i/>
      <w:sz w:val="24"/>
    </w:rPr>
  </w:style>
  <w:style w:type="paragraph" w:customStyle="1" w:styleId="Typeacteprincipal">
    <w:name w:val="Type acte principal"/>
    <w:basedOn w:val="Standard"/>
    <w:next w:val="Standard"/>
    <w:pPr>
      <w:spacing w:after="240" w:line="240" w:lineRule="auto"/>
      <w:jc w:val="center"/>
    </w:pPr>
    <w:rPr>
      <w:rFonts w:ascii="Times New Roman" w:hAnsi="Times New Roman" w:cs="Times New Roman"/>
      <w:b/>
      <w:sz w:val="24"/>
    </w:rPr>
  </w:style>
  <w:style w:type="paragraph" w:customStyle="1" w:styleId="Objetacteprincipal">
    <w:name w:val="Objet acte principal"/>
    <w:basedOn w:val="Standard"/>
    <w:next w:val="Standard"/>
    <w:pPr>
      <w:spacing w:after="360" w:line="240" w:lineRule="auto"/>
      <w:jc w:val="center"/>
    </w:pPr>
    <w:rPr>
      <w:rFonts w:ascii="Times New Roman" w:hAnsi="Times New Roman" w:cs="Times New Roman"/>
      <w:b/>
      <w:sz w:val="24"/>
    </w:rPr>
  </w:style>
  <w:style w:type="paragraph" w:customStyle="1" w:styleId="FooterCoverPage">
    <w:name w:val="Footer Cover Page"/>
    <w:basedOn w:val="Standard"/>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Absatz-Standardschriftar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hAnsi="Times New Roman" w:cs="Times New Roman"/>
      <w:b w:val="0"/>
      <w:sz w:val="24"/>
    </w:rPr>
  </w:style>
  <w:style w:type="paragraph" w:customStyle="1" w:styleId="HeaderCoverPage">
    <w:name w:val="Header Cover Page"/>
    <w:basedOn w:val="Standard"/>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paragraph" w:styleId="Verzeichnis1">
    <w:name w:val="toc 1"/>
    <w:basedOn w:val="Standard"/>
    <w:next w:val="Standard"/>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character" w:styleId="Hyperlink">
    <w:name w:val="Hyperlink"/>
    <w:uiPriority w:val="99"/>
    <w:unhideWhenUsed/>
    <w:rPr>
      <w:color w:val="0000FF"/>
      <w:u w:val="single"/>
      <w:shd w:val="clear" w:color="auto" w:fill="auto"/>
    </w:rPr>
  </w:style>
  <w:style w:type="character" w:styleId="BesuchterHyperlink">
    <w:name w:val="FollowedHyperlink"/>
    <w:basedOn w:val="Absatz-Standardschriftart"/>
    <w:uiPriority w:val="99"/>
    <w:semiHidden/>
    <w:unhideWhenUsed/>
    <w:rPr>
      <w:color w:val="800080" w:themeColor="followedHyperlink"/>
      <w:u w:val="single"/>
    </w:rPr>
  </w:style>
  <w:style w:type="character" w:customStyle="1" w:styleId="berschrift1Zchn">
    <w:name w:val="Überschrift 1 Zchn"/>
    <w:basedOn w:val="Absatz-Standardschriftart"/>
    <w:link w:val="berschrift1"/>
    <w:uiPriority w:val="9"/>
    <w:rPr>
      <w:rFonts w:ascii="Times New Roman" w:eastAsiaTheme="majorEastAsia" w:hAnsi="Times New Roman" w:cs="Times New Roman"/>
      <w:b/>
      <w:bCs/>
      <w:smallCaps/>
      <w:sz w:val="24"/>
      <w:szCs w:val="28"/>
    </w:rPr>
  </w:style>
  <w:style w:type="character" w:customStyle="1" w:styleId="berschrift2Zchn">
    <w:name w:val="Überschrift 2 Zchn"/>
    <w:basedOn w:val="Absatz-Standardschriftart"/>
    <w:link w:val="berschrift2"/>
    <w:uiPriority w:val="9"/>
    <w:rPr>
      <w:rFonts w:ascii="Times New Roman" w:eastAsiaTheme="majorEastAsia" w:hAnsi="Times New Roman" w:cs="Times New Roman"/>
      <w:b/>
      <w:bCs/>
      <w:sz w:val="24"/>
      <w:szCs w:val="26"/>
    </w:rPr>
  </w:style>
  <w:style w:type="character" w:customStyle="1" w:styleId="berschrift3Zchn">
    <w:name w:val="Überschrift 3 Zchn"/>
    <w:basedOn w:val="Absatz-Standardschriftart"/>
    <w:link w:val="berschrift3"/>
    <w:uiPriority w:val="9"/>
    <w:rPr>
      <w:rFonts w:ascii="Times New Roman" w:eastAsiaTheme="majorEastAsia" w:hAnsi="Times New Roman" w:cs="Times New Roman"/>
      <w:bCs/>
      <w:i/>
      <w:sz w:val="24"/>
    </w:rPr>
  </w:style>
  <w:style w:type="character" w:customStyle="1" w:styleId="berschrift4Zchn">
    <w:name w:val="Überschrift 4 Zchn"/>
    <w:basedOn w:val="Absatz-Standardschriftart"/>
    <w:link w:val="berschrift4"/>
    <w:uiPriority w:val="9"/>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Funotentext">
    <w:name w:val="footnote text"/>
    <w:aliases w:val="Schriftart: 9 pt,Schriftart: 10 pt,Schriftart: 8 pt,WB-Fußnotentext,Footnote Text Char2,Footnote Text Char1 Char,Footnote Text Char2 Char Char,Footnote Text Char1 Char Char Char,Footnote Text Char2 Char Char Char Char,fn, Car1,o,f"/>
    <w:basedOn w:val="Standard"/>
    <w:link w:val="FunotentextZchn"/>
    <w:uiPriority w:val="99"/>
    <w:unhideWhenUsed/>
    <w:qFormat/>
    <w:pPr>
      <w:spacing w:after="0" w:line="240" w:lineRule="auto"/>
      <w:ind w:left="720" w:hanging="720"/>
      <w:jc w:val="both"/>
    </w:pPr>
    <w:rPr>
      <w:rFonts w:ascii="Times New Roman" w:hAnsi="Times New Roman" w:cs="Times New Roman"/>
      <w:sz w:val="20"/>
      <w:szCs w:val="20"/>
    </w:rPr>
  </w:style>
  <w:style w:type="character" w:customStyle="1" w:styleId="FunotentextZchn">
    <w:name w:val="Fußnotentext Zchn"/>
    <w:aliases w:val="Schriftart: 9 pt Zchn,Schriftart: 10 pt Zchn,Schriftart: 8 pt Zchn,WB-Fußnotentext Zchn,Footnote Text Char2 Zchn,Footnote Text Char1 Char Zchn,Footnote Text Char2 Char Char Zchn,Footnote Text Char1 Char Char Char Zchn,fn Zchn,o Zchn"/>
    <w:basedOn w:val="Absatz-Standardschriftart"/>
    <w:link w:val="Funotentext"/>
    <w:uiPriority w:val="99"/>
    <w:rPr>
      <w:rFonts w:ascii="Times New Roman" w:hAnsi="Times New Roman" w:cs="Times New Roman"/>
      <w:sz w:val="20"/>
      <w:szCs w:val="20"/>
    </w:rPr>
  </w:style>
  <w:style w:type="character" w:styleId="Funotenzeichen">
    <w:name w:val="footnote reference"/>
    <w:aliases w:val="EN Footnote Reference,-E Fußnotenzeichen, BVI fnr,Footnote,Footnote symbol,Footnote number,Footnote Reference Number,Footnote reference number,Times 10 Point,Exposant 3 Point,Footnote Reference Superscript, Exposant 3 Point"/>
    <w:basedOn w:val="Absatz-Standardschriftart"/>
    <w:link w:val="CharCharChar1"/>
    <w:uiPriority w:val="99"/>
    <w:unhideWhenUsed/>
    <w:qFormat/>
    <w:rPr>
      <w:vertAlign w:val="superscript"/>
    </w:rPr>
  </w:style>
  <w:style w:type="paragraph" w:customStyle="1" w:styleId="CharCharChar1">
    <w:name w:val="Char Char Char1"/>
    <w:basedOn w:val="Standard"/>
    <w:link w:val="Funotenzeichen"/>
    <w:pPr>
      <w:spacing w:after="160" w:line="240" w:lineRule="exact"/>
    </w:pPr>
    <w:rPr>
      <w:vertAlign w:val="superscript"/>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Aufzhlungszeichen">
    <w:name w:val="List Bullet"/>
    <w:basedOn w:val="Standard"/>
    <w:pPr>
      <w:numPr>
        <w:numId w:val="5"/>
      </w:numPr>
      <w:spacing w:after="240" w:line="240" w:lineRule="auto"/>
      <w:jc w:val="both"/>
    </w:pPr>
    <w:rPr>
      <w:rFonts w:ascii="Times New Roman" w:eastAsia="Times New Roman" w:hAnsi="Times New Roman" w:cs="Times New Roman"/>
      <w:sz w:val="24"/>
      <w:szCs w:val="20"/>
    </w:rPr>
  </w:style>
  <w:style w:type="paragraph" w:styleId="Textkrper">
    <w:name w:val="Body Text"/>
    <w:aliases w:val="Body,Tekst,Tekst 12,Body1,Tekst1,Body2,Tekst2,Body3,Tekst3,Mull,Tekst podstawowy Znak Znak Znak Znak Znak Znak Znak Znak,b,bt,szaro,uvlaka 2,DNV-Body,Eko2-Body,omae Text,BodyText,(Norm),Μελέτη,Τίτλος Μελέτης Char Char,Car,Document,Do,Doc"/>
    <w:basedOn w:val="Standard"/>
    <w:link w:val="TextkrperZchn"/>
    <w:unhideWhenUsed/>
    <w:qFormat/>
    <w:rPr>
      <w:rFonts w:ascii="Calibri" w:eastAsia="Calibri" w:hAnsi="Calibri" w:cs="Times New Roman"/>
      <w:lang w:val="de-DE"/>
    </w:rPr>
  </w:style>
  <w:style w:type="character" w:customStyle="1" w:styleId="TextkrperZchn">
    <w:name w:val="Textkörper Zchn"/>
    <w:aliases w:val="Body Zchn,Tekst Zchn,Tekst 12 Zchn,Body1 Zchn,Tekst1 Zchn,Body2 Zchn,Tekst2 Zchn,Body3 Zchn,Tekst3 Zchn,Mull Zchn,Tekst podstawowy Znak Znak Znak Znak Znak Znak Znak Znak Zchn,b Zchn,bt Zchn,szaro Zchn,uvlaka 2 Zchn,DNV-Body Zchn,Do Zchn"/>
    <w:basedOn w:val="Absatz-Standardschriftart"/>
    <w:link w:val="Textkrper"/>
    <w:rPr>
      <w:rFonts w:ascii="Calibri" w:eastAsia="Calibri" w:hAnsi="Calibri" w:cs="Times New Roman"/>
      <w:lang w:val="de-DE"/>
    </w:rPr>
  </w:style>
  <w:style w:type="paragraph" w:styleId="Listennummer">
    <w:name w:val="List Number"/>
    <w:basedOn w:val="Standard"/>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pPr>
      <w:numPr>
        <w:ilvl w:val="3"/>
        <w:numId w:val="15"/>
      </w:numPr>
      <w:spacing w:after="240" w:line="240" w:lineRule="auto"/>
      <w:jc w:val="both"/>
    </w:pPr>
    <w:rPr>
      <w:rFonts w:ascii="Times New Roman" w:eastAsia="Times New Roman" w:hAnsi="Times New Roman" w:cs="Times New Roman"/>
      <w:sz w:val="24"/>
      <w:szCs w:val="20"/>
    </w:rPr>
  </w:style>
  <w:style w:type="paragraph" w:styleId="KeinLeerraum">
    <w:name w:val="No Spacing"/>
    <w:uiPriority w:val="1"/>
    <w:qFormat/>
    <w:pPr>
      <w:spacing w:after="0" w:line="240" w:lineRule="auto"/>
    </w:pPr>
    <w:rPr>
      <w:rFonts w:eastAsiaTheme="minorEastAsia"/>
      <w:lang w:val="fi-FI" w:eastAsia="fi-FI"/>
    </w:rPr>
  </w:style>
  <w:style w:type="table" w:customStyle="1" w:styleId="TableGrid7">
    <w:name w:val="Table Grid7"/>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pPr>
      <w:spacing w:after="0" w:line="240" w:lineRule="auto"/>
    </w:pPr>
    <w:rPr>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6">
    <w:name w:val="Table Grid6"/>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Standard"/>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Standard"/>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table" w:customStyle="1" w:styleId="TableGrid5">
    <w:name w:val="Table Grid5"/>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nummer3">
    <w:name w:val="List Number 3"/>
    <w:basedOn w:val="Standard"/>
    <w:pPr>
      <w:numPr>
        <w:numId w:val="18"/>
      </w:numPr>
      <w:spacing w:after="240" w:line="240" w:lineRule="auto"/>
      <w:jc w:val="both"/>
    </w:pPr>
    <w:rPr>
      <w:rFonts w:ascii="Times New Roman" w:eastAsia="Times New Roman" w:hAnsi="Times New Roman" w:cs="Times New Roman"/>
      <w:sz w:val="24"/>
      <w:szCs w:val="2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table" w:styleId="MittlereListe2-Akzent5">
    <w:name w:val="Medium List 2 Accent 5"/>
    <w:basedOn w:val="NormaleTabelle"/>
    <w:uiPriority w:val="66"/>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rFonts w:asciiTheme="majorHAnsi" w:hAnsiTheme="majorHAnsi"/>
        <w:b w:val="0"/>
        <w:sz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NormaleTabelle"/>
    <w:next w:val="MittlereListe2-Akzent5"/>
    <w:uiPriority w:val="66"/>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libri" w:hAnsi="Calibri"/>
        <w:b w:val="0"/>
        <w:sz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NormaleTabelle"/>
    <w:next w:val="MittlereListe2-Akzent5"/>
    <w:uiPriority w:val="66"/>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libri" w:hAnsi="Calibri"/>
        <w:b w:val="0"/>
        <w:sz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NormaleTabelle"/>
    <w:next w:val="MittlereListe2-Akzent5"/>
    <w:uiPriority w:val="66"/>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libri" w:hAnsi="Calibri"/>
        <w:b w:val="0"/>
        <w:sz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Listenabsatz">
    <w:name w:val="List Paragraph"/>
    <w:basedOn w:val="Standard"/>
    <w:uiPriority w:val="34"/>
    <w:qFormat/>
    <w:pPr>
      <w:ind w:left="720"/>
      <w:contextualSpacing/>
    </w:pPr>
  </w:style>
  <w:style w:type="paragraph" w:customStyle="1" w:styleId="Text1">
    <w:name w:val="Text 1"/>
    <w:basedOn w:val="Standard"/>
    <w:pPr>
      <w:spacing w:before="120" w:after="120" w:line="240" w:lineRule="auto"/>
      <w:ind w:left="850"/>
      <w:jc w:val="both"/>
    </w:pPr>
    <w:rPr>
      <w:rFonts w:ascii="Times New Roman" w:hAnsi="Times New Roman" w:cs="Times New Roman"/>
      <w:sz w:val="24"/>
    </w:rPr>
  </w:style>
  <w:style w:type="paragraph" w:customStyle="1" w:styleId="Contact">
    <w:name w:val="Contact"/>
    <w:basedOn w:val="Standard"/>
    <w:next w:val="Standard"/>
    <w:pPr>
      <w:spacing w:before="480" w:after="0" w:line="240" w:lineRule="auto"/>
      <w:ind w:left="567" w:hanging="567"/>
    </w:pPr>
    <w:rPr>
      <w:rFonts w:ascii="Times New Roman" w:eastAsia="Times New Roman" w:hAnsi="Times New Roman" w:cs="Times New Roman"/>
      <w:sz w:val="24"/>
      <w:szCs w:val="20"/>
    </w:rPr>
  </w:style>
  <w:style w:type="paragraph" w:customStyle="1" w:styleId="ListBullet1">
    <w:name w:val="List Bullet 1"/>
    <w:basedOn w:val="Text1"/>
    <w:pPr>
      <w:numPr>
        <w:numId w:val="6"/>
      </w:numPr>
      <w:spacing w:before="0" w:after="240"/>
    </w:pPr>
    <w:rPr>
      <w:rFonts w:eastAsia="Times New Roman"/>
      <w:szCs w:val="20"/>
    </w:rPr>
  </w:style>
  <w:style w:type="paragraph" w:styleId="Aufzhlungszeichen2">
    <w:name w:val="List Bullet 2"/>
    <w:basedOn w:val="Standard"/>
    <w:pPr>
      <w:numPr>
        <w:numId w:val="7"/>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pPr>
      <w:numPr>
        <w:numId w:val="8"/>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11"/>
      </w:numPr>
      <w:spacing w:before="0" w:after="240"/>
    </w:pPr>
    <w:rPr>
      <w:rFonts w:eastAsia="Times New Roman"/>
      <w:szCs w:val="20"/>
    </w:rPr>
  </w:style>
  <w:style w:type="paragraph" w:customStyle="1" w:styleId="ListDash2">
    <w:name w:val="List Dash 2"/>
    <w:basedOn w:val="Standard"/>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pPr>
      <w:numPr>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6"/>
      </w:numPr>
      <w:spacing w:before="0" w:after="240"/>
    </w:pPr>
    <w:rPr>
      <w:rFonts w:eastAsia="Times New Roman"/>
      <w:szCs w:val="20"/>
    </w:rPr>
  </w:style>
  <w:style w:type="paragraph" w:styleId="Listennummer2">
    <w:name w:val="List Number 2"/>
    <w:basedOn w:val="Standard"/>
    <w:pPr>
      <w:numPr>
        <w:numId w:val="17"/>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pPr>
      <w:numPr>
        <w:numId w:val="19"/>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pPr>
      <w:numPr>
        <w:ilvl w:val="1"/>
        <w:numId w:val="16"/>
      </w:numPr>
      <w:spacing w:before="0" w:after="240"/>
    </w:pPr>
    <w:rPr>
      <w:rFonts w:eastAsia="Times New Roman"/>
      <w:szCs w:val="20"/>
    </w:rPr>
  </w:style>
  <w:style w:type="paragraph" w:customStyle="1" w:styleId="ListNumber2Level2">
    <w:name w:val="List Number 2 (Level 2)"/>
    <w:basedOn w:val="Standard"/>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pPr>
      <w:numPr>
        <w:ilvl w:val="2"/>
        <w:numId w:val="16"/>
      </w:numPr>
      <w:spacing w:before="0" w:after="240"/>
    </w:pPr>
    <w:rPr>
      <w:rFonts w:eastAsia="Times New Roman"/>
      <w:szCs w:val="20"/>
    </w:rPr>
  </w:style>
  <w:style w:type="paragraph" w:customStyle="1" w:styleId="ListNumber2Level3">
    <w:name w:val="List Number 2 (Level 3)"/>
    <w:basedOn w:val="Standard"/>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pPr>
      <w:numPr>
        <w:ilvl w:val="3"/>
        <w:numId w:val="16"/>
      </w:numPr>
      <w:spacing w:before="0" w:after="240"/>
    </w:pPr>
    <w:rPr>
      <w:rFonts w:eastAsia="Times New Roman"/>
      <w:szCs w:val="20"/>
    </w:rPr>
  </w:style>
  <w:style w:type="paragraph" w:customStyle="1" w:styleId="ListNumber2Level4">
    <w:name w:val="List Number 2 (Level 4)"/>
    <w:basedOn w:val="Standard"/>
    <w:pPr>
      <w:numPr>
        <w:ilvl w:val="3"/>
        <w:numId w:val="17"/>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pPr>
      <w:numPr>
        <w:ilvl w:val="3"/>
        <w:numId w:val="19"/>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pPr>
      <w:keepNext/>
      <w:spacing w:before="240" w:after="240" w:line="240" w:lineRule="auto"/>
      <w:jc w:val="center"/>
    </w:pPr>
    <w:rPr>
      <w:rFonts w:ascii="Times New Roman" w:eastAsia="Times New Roman" w:hAnsi="Times New Roman" w:cs="Times New Roman"/>
      <w:b/>
      <w:sz w:val="24"/>
      <w:szCs w:val="20"/>
    </w:rPr>
  </w:style>
  <w:style w:type="paragraph" w:styleId="Verzeichnis2">
    <w:name w:val="toc 2"/>
    <w:basedOn w:val="Standard"/>
    <w:next w:val="Standard"/>
    <w:semiHidden/>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Verzeichnis3">
    <w:name w:val="toc 3"/>
    <w:basedOn w:val="Standard"/>
    <w:next w:val="Standard"/>
    <w:semiHidden/>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Verzeichnis4">
    <w:name w:val="toc 4"/>
    <w:basedOn w:val="Standard"/>
    <w:next w:val="Standard"/>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paragraph" w:styleId="Dokumentstruktur">
    <w:name w:val="Document Map"/>
    <w:basedOn w:val="Standard"/>
    <w:link w:val="DokumentstrukturZchn"/>
    <w:uiPriority w:val="99"/>
    <w:semiHidden/>
    <w:unhideWhenUsed/>
    <w:pPr>
      <w:spacing w:after="120" w:line="240" w:lineRule="auto"/>
    </w:pPr>
    <w:rPr>
      <w:rFonts w:ascii="Lucida Grande" w:eastAsiaTheme="minorEastAsia" w:hAnsi="Lucida Grande" w:cs="Lucida Grande"/>
      <w:sz w:val="24"/>
      <w:szCs w:val="24"/>
      <w:lang w:val="el-GR"/>
    </w:rPr>
  </w:style>
  <w:style w:type="character" w:customStyle="1" w:styleId="DokumentstrukturZchn">
    <w:name w:val="Dokumentstruktur Zchn"/>
    <w:basedOn w:val="Absatz-Standardschriftart"/>
    <w:link w:val="Dokumentstruktur"/>
    <w:uiPriority w:val="99"/>
    <w:semiHidden/>
    <w:rPr>
      <w:rFonts w:ascii="Lucida Grande" w:eastAsiaTheme="minorEastAsia" w:hAnsi="Lucida Grande" w:cs="Lucida Grande"/>
      <w:sz w:val="24"/>
      <w:szCs w:val="24"/>
      <w:lang w:val="el-GR"/>
    </w:rPr>
  </w:style>
  <w:style w:type="table" w:styleId="HelleSchattierung-Akzent1">
    <w:name w:val="Light Shading Accent 1"/>
    <w:basedOn w:val="NormaleTabelle"/>
    <w:uiPriority w:val="60"/>
    <w:pPr>
      <w:spacing w:after="0" w:line="240" w:lineRule="auto"/>
    </w:pPr>
    <w:rPr>
      <w:rFonts w:eastAsiaTheme="minorEastAsia"/>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el">
    <w:name w:val="Title"/>
    <w:basedOn w:val="Standard"/>
    <w:next w:val="Standard"/>
    <w:link w:val="TitelZchn"/>
    <w:uiPriority w:val="10"/>
    <w:qFormat/>
    <w:pPr>
      <w:pBdr>
        <w:bottom w:val="single" w:sz="8" w:space="4" w:color="4F81BD" w:themeColor="accent1"/>
      </w:pBdr>
      <w:spacing w:after="120" w:line="240" w:lineRule="auto"/>
      <w:contextualSpacing/>
    </w:pPr>
    <w:rPr>
      <w:rFonts w:asciiTheme="majorHAnsi" w:eastAsiaTheme="majorEastAsia" w:hAnsiTheme="majorHAnsi" w:cstheme="majorBidi"/>
      <w:color w:val="17365D" w:themeColor="text2" w:themeShade="BF"/>
      <w:spacing w:val="5"/>
      <w:kern w:val="28"/>
      <w:sz w:val="52"/>
      <w:szCs w:val="52"/>
      <w:lang w:val="el-GR"/>
    </w:rPr>
  </w:style>
  <w:style w:type="character" w:customStyle="1" w:styleId="TitelZchn">
    <w:name w:val="Titel Zchn"/>
    <w:basedOn w:val="Absatz-Standardschriftart"/>
    <w:link w:val="Titel"/>
    <w:uiPriority w:val="10"/>
    <w:rPr>
      <w:rFonts w:asciiTheme="majorHAnsi" w:eastAsiaTheme="majorEastAsia" w:hAnsiTheme="majorHAnsi" w:cstheme="majorBidi"/>
      <w:color w:val="17365D" w:themeColor="text2" w:themeShade="BF"/>
      <w:spacing w:val="5"/>
      <w:kern w:val="28"/>
      <w:sz w:val="52"/>
      <w:szCs w:val="52"/>
      <w:lang w:val="el-GR"/>
    </w:rPr>
  </w:style>
  <w:style w:type="paragraph" w:styleId="Beschriftung">
    <w:name w:val="caption"/>
    <w:basedOn w:val="Standard"/>
    <w:next w:val="Standard"/>
    <w:uiPriority w:val="35"/>
    <w:unhideWhenUsed/>
    <w:qFormat/>
    <w:pPr>
      <w:spacing w:after="120" w:line="240" w:lineRule="auto"/>
    </w:pPr>
    <w:rPr>
      <w:rFonts w:ascii="Avenir Book" w:eastAsiaTheme="minorEastAsia" w:hAnsi="Avenir Book"/>
      <w:bCs/>
      <w:color w:val="4F81BD" w:themeColor="accent1"/>
      <w:szCs w:val="18"/>
      <w:lang w:val="el-GR"/>
    </w:rPr>
  </w:style>
  <w:style w:type="paragraph" w:styleId="Untertitel">
    <w:name w:val="Subtitle"/>
    <w:basedOn w:val="Standard"/>
    <w:next w:val="Standard"/>
    <w:link w:val="UntertitelZchn"/>
    <w:uiPriority w:val="11"/>
    <w:qFormat/>
    <w:pPr>
      <w:numPr>
        <w:ilvl w:val="1"/>
      </w:numPr>
      <w:spacing w:after="120" w:line="240" w:lineRule="auto"/>
    </w:pPr>
    <w:rPr>
      <w:rFonts w:asciiTheme="majorHAnsi" w:eastAsiaTheme="majorEastAsia" w:hAnsiTheme="majorHAnsi" w:cstheme="majorBidi"/>
      <w:i/>
      <w:iCs/>
      <w:color w:val="4F81BD" w:themeColor="accent1"/>
      <w:spacing w:val="15"/>
      <w:sz w:val="24"/>
      <w:szCs w:val="24"/>
      <w:lang w:val="el-GR"/>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i/>
      <w:iCs/>
      <w:color w:val="4F81BD" w:themeColor="accent1"/>
      <w:spacing w:val="15"/>
      <w:sz w:val="24"/>
      <w:szCs w:val="24"/>
      <w:lang w:val="el-GR"/>
    </w:rPr>
  </w:style>
  <w:style w:type="table" w:styleId="MittlereListe1-Akzent5">
    <w:name w:val="Medium List 1 Accent 5"/>
    <w:basedOn w:val="NormaleTabelle"/>
    <w:uiPriority w:val="65"/>
    <w:pPr>
      <w:spacing w:after="0" w:line="240" w:lineRule="auto"/>
    </w:pPr>
    <w:rPr>
      <w:rFonts w:eastAsiaTheme="minorEastAsia"/>
      <w:color w:val="000000" w:themeColor="text1"/>
      <w:sz w:val="24"/>
      <w:szCs w:val="24"/>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w:eastAsiaTheme="minorEastAsia" w:hAnsi="Courier" w:cs="Courier"/>
      <w:sz w:val="20"/>
      <w:szCs w:val="20"/>
      <w:lang w:val="en-US"/>
    </w:rPr>
  </w:style>
  <w:style w:type="character" w:customStyle="1" w:styleId="HTMLVorformatiertZchn">
    <w:name w:val="HTML Vorformatiert Zchn"/>
    <w:basedOn w:val="Absatz-Standardschriftart"/>
    <w:link w:val="HTMLVorformatiert"/>
    <w:uiPriority w:val="99"/>
    <w:semiHidden/>
    <w:rPr>
      <w:rFonts w:ascii="Courier" w:eastAsiaTheme="minorEastAsia" w:hAnsi="Courier" w:cs="Courier"/>
      <w:sz w:val="20"/>
      <w:szCs w:val="20"/>
      <w:lang w:val="en-US"/>
    </w:rPr>
  </w:style>
  <w:style w:type="table" w:styleId="HellesRaster-Akzent2">
    <w:name w:val="Light Grid Accent 2"/>
    <w:basedOn w:val="NormaleTabelle"/>
    <w:uiPriority w:val="62"/>
    <w:pPr>
      <w:spacing w:after="0" w:line="240" w:lineRule="auto"/>
    </w:pPr>
    <w:rPr>
      <w:rFonts w:eastAsiaTheme="minorEastAsia"/>
      <w:sz w:val="24"/>
      <w:szCs w:val="24"/>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rd">
    <w:name w:val="Normal"/>
    <w:qFormat/>
  </w:style>
  <w:style w:type="paragraph" w:styleId="berschrift1">
    <w:name w:val="heading 1"/>
    <w:basedOn w:val="Standard"/>
    <w:next w:val="Standard"/>
    <w:link w:val="berschrift1Zchn"/>
    <w:uiPriority w:val="9"/>
    <w:qFormat/>
    <w:pPr>
      <w:keepNext/>
      <w:numPr>
        <w:numId w:val="1"/>
      </w:numPr>
      <w:spacing w:before="360" w:after="120" w:line="240" w:lineRule="auto"/>
      <w:jc w:val="both"/>
      <w:outlineLvl w:val="0"/>
    </w:pPr>
    <w:rPr>
      <w:rFonts w:ascii="Times New Roman" w:eastAsiaTheme="majorEastAsia" w:hAnsi="Times New Roman" w:cs="Times New Roman"/>
      <w:b/>
      <w:bCs/>
      <w:smallCaps/>
      <w:sz w:val="24"/>
      <w:szCs w:val="28"/>
    </w:rPr>
  </w:style>
  <w:style w:type="paragraph" w:styleId="berschrift2">
    <w:name w:val="heading 2"/>
    <w:basedOn w:val="Standard"/>
    <w:next w:val="Standard"/>
    <w:link w:val="berschrift2Zchn"/>
    <w:uiPriority w:val="9"/>
    <w:unhideWhenUsed/>
    <w:qFormat/>
    <w:pPr>
      <w:keepNext/>
      <w:numPr>
        <w:ilvl w:val="1"/>
        <w:numId w:val="1"/>
      </w:numPr>
      <w:spacing w:before="120" w:after="120" w:line="240" w:lineRule="auto"/>
      <w:jc w:val="both"/>
      <w:outlineLvl w:val="1"/>
    </w:pPr>
    <w:rPr>
      <w:rFonts w:ascii="Times New Roman" w:eastAsiaTheme="majorEastAsia" w:hAnsi="Times New Roman" w:cs="Times New Roman"/>
      <w:b/>
      <w:bCs/>
      <w:sz w:val="24"/>
      <w:szCs w:val="26"/>
    </w:rPr>
  </w:style>
  <w:style w:type="paragraph" w:styleId="berschrift3">
    <w:name w:val="heading 3"/>
    <w:basedOn w:val="Standard"/>
    <w:next w:val="Standard"/>
    <w:link w:val="berschrift3Zchn"/>
    <w:uiPriority w:val="9"/>
    <w:unhideWhenUsed/>
    <w:qFormat/>
    <w:pPr>
      <w:keepNext/>
      <w:numPr>
        <w:ilvl w:val="2"/>
        <w:numId w:val="1"/>
      </w:numPr>
      <w:spacing w:before="120" w:after="120" w:line="240" w:lineRule="auto"/>
      <w:jc w:val="both"/>
      <w:outlineLvl w:val="2"/>
    </w:pPr>
    <w:rPr>
      <w:rFonts w:ascii="Times New Roman" w:eastAsiaTheme="majorEastAsia" w:hAnsi="Times New Roman" w:cs="Times New Roman"/>
      <w:bCs/>
      <w:i/>
      <w:sz w:val="24"/>
    </w:rPr>
  </w:style>
  <w:style w:type="paragraph" w:styleId="berschrift4">
    <w:name w:val="heading 4"/>
    <w:basedOn w:val="Standard"/>
    <w:next w:val="Standard"/>
    <w:link w:val="berschrift4Zchn"/>
    <w:uiPriority w:val="9"/>
    <w:unhideWhenUsed/>
    <w:qFormat/>
    <w:pPr>
      <w:keepNext/>
      <w:numPr>
        <w:ilvl w:val="3"/>
        <w:numId w:val="1"/>
      </w:numPr>
      <w:spacing w:before="120" w:after="120" w:line="240" w:lineRule="auto"/>
      <w:jc w:val="both"/>
      <w:outlineLvl w:val="3"/>
    </w:pPr>
    <w:rPr>
      <w:rFonts w:ascii="Times New Roman" w:eastAsiaTheme="majorEastAsia" w:hAnsi="Times New Roman" w:cs="Times New Roman"/>
      <w:bCs/>
      <w:i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r">
    <w:name w:val="Marker"/>
    <w:basedOn w:val="Absatz-Standardschriftart"/>
    <w:rPr>
      <w:color w:val="0000FF"/>
      <w:shd w:val="clear" w:color="auto" w:fill="auto"/>
    </w:rPr>
  </w:style>
  <w:style w:type="paragraph" w:customStyle="1" w:styleId="Pagedecouverture">
    <w:name w:val="Page de couverture"/>
    <w:basedOn w:val="Standard"/>
    <w:next w:val="Standard"/>
    <w:pPr>
      <w:spacing w:after="0" w:line="240" w:lineRule="auto"/>
      <w:jc w:val="both"/>
    </w:pPr>
    <w:rPr>
      <w:rFonts w:ascii="Times New Roman" w:hAnsi="Times New Roman" w:cs="Times New Roman"/>
      <w:sz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Typedudocument">
    <w:name w:val="Type du document"/>
    <w:basedOn w:val="Standard"/>
    <w:next w:val="Standard"/>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Standard"/>
    <w:next w:val="Standard"/>
    <w:pPr>
      <w:spacing w:before="360" w:after="360" w:line="240" w:lineRule="auto"/>
      <w:jc w:val="center"/>
    </w:pPr>
    <w:rPr>
      <w:rFonts w:ascii="Times New Roman" w:hAnsi="Times New Roman" w:cs="Times New Roman"/>
      <w:b/>
      <w:sz w:val="24"/>
    </w:rPr>
  </w:style>
  <w:style w:type="paragraph" w:customStyle="1" w:styleId="Accompagnant">
    <w:name w:val="Accompagnant"/>
    <w:basedOn w:val="Standard"/>
    <w:next w:val="Standard"/>
    <w:pPr>
      <w:spacing w:after="240" w:line="240" w:lineRule="auto"/>
      <w:jc w:val="center"/>
    </w:pPr>
    <w:rPr>
      <w:rFonts w:ascii="Times New Roman" w:hAnsi="Times New Roman" w:cs="Times New Roman"/>
      <w:b/>
      <w:i/>
      <w:sz w:val="24"/>
    </w:rPr>
  </w:style>
  <w:style w:type="paragraph" w:customStyle="1" w:styleId="Typeacteprincipal">
    <w:name w:val="Type acte principal"/>
    <w:basedOn w:val="Standard"/>
    <w:next w:val="Standard"/>
    <w:pPr>
      <w:spacing w:after="240" w:line="240" w:lineRule="auto"/>
      <w:jc w:val="center"/>
    </w:pPr>
    <w:rPr>
      <w:rFonts w:ascii="Times New Roman" w:hAnsi="Times New Roman" w:cs="Times New Roman"/>
      <w:b/>
      <w:sz w:val="24"/>
    </w:rPr>
  </w:style>
  <w:style w:type="paragraph" w:customStyle="1" w:styleId="Objetacteprincipal">
    <w:name w:val="Objet acte principal"/>
    <w:basedOn w:val="Standard"/>
    <w:next w:val="Standard"/>
    <w:pPr>
      <w:spacing w:after="360" w:line="240" w:lineRule="auto"/>
      <w:jc w:val="center"/>
    </w:pPr>
    <w:rPr>
      <w:rFonts w:ascii="Times New Roman" w:hAnsi="Times New Roman" w:cs="Times New Roman"/>
      <w:b/>
      <w:sz w:val="24"/>
    </w:rPr>
  </w:style>
  <w:style w:type="paragraph" w:customStyle="1" w:styleId="FooterCoverPage">
    <w:name w:val="Footer Cover Page"/>
    <w:basedOn w:val="Standard"/>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Absatz-Standardschriftar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hAnsi="Times New Roman" w:cs="Times New Roman"/>
      <w:b w:val="0"/>
      <w:sz w:val="24"/>
    </w:rPr>
  </w:style>
  <w:style w:type="paragraph" w:customStyle="1" w:styleId="HeaderCoverPage">
    <w:name w:val="Header Cover Page"/>
    <w:basedOn w:val="Standard"/>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paragraph" w:styleId="Verzeichnis1">
    <w:name w:val="toc 1"/>
    <w:basedOn w:val="Standard"/>
    <w:next w:val="Standard"/>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character" w:styleId="Hyperlink">
    <w:name w:val="Hyperlink"/>
    <w:uiPriority w:val="99"/>
    <w:unhideWhenUsed/>
    <w:rPr>
      <w:color w:val="0000FF"/>
      <w:u w:val="single"/>
      <w:shd w:val="clear" w:color="auto" w:fill="auto"/>
    </w:rPr>
  </w:style>
  <w:style w:type="character" w:styleId="BesuchterHyperlink">
    <w:name w:val="FollowedHyperlink"/>
    <w:basedOn w:val="Absatz-Standardschriftart"/>
    <w:uiPriority w:val="99"/>
    <w:semiHidden/>
    <w:unhideWhenUsed/>
    <w:rPr>
      <w:color w:val="800080" w:themeColor="followedHyperlink"/>
      <w:u w:val="single"/>
    </w:rPr>
  </w:style>
  <w:style w:type="character" w:customStyle="1" w:styleId="berschrift1Zchn">
    <w:name w:val="Überschrift 1 Zchn"/>
    <w:basedOn w:val="Absatz-Standardschriftart"/>
    <w:link w:val="berschrift1"/>
    <w:uiPriority w:val="9"/>
    <w:rPr>
      <w:rFonts w:ascii="Times New Roman" w:eastAsiaTheme="majorEastAsia" w:hAnsi="Times New Roman" w:cs="Times New Roman"/>
      <w:b/>
      <w:bCs/>
      <w:smallCaps/>
      <w:sz w:val="24"/>
      <w:szCs w:val="28"/>
    </w:rPr>
  </w:style>
  <w:style w:type="character" w:customStyle="1" w:styleId="berschrift2Zchn">
    <w:name w:val="Überschrift 2 Zchn"/>
    <w:basedOn w:val="Absatz-Standardschriftart"/>
    <w:link w:val="berschrift2"/>
    <w:uiPriority w:val="9"/>
    <w:rPr>
      <w:rFonts w:ascii="Times New Roman" w:eastAsiaTheme="majorEastAsia" w:hAnsi="Times New Roman" w:cs="Times New Roman"/>
      <w:b/>
      <w:bCs/>
      <w:sz w:val="24"/>
      <w:szCs w:val="26"/>
    </w:rPr>
  </w:style>
  <w:style w:type="character" w:customStyle="1" w:styleId="berschrift3Zchn">
    <w:name w:val="Überschrift 3 Zchn"/>
    <w:basedOn w:val="Absatz-Standardschriftart"/>
    <w:link w:val="berschrift3"/>
    <w:uiPriority w:val="9"/>
    <w:rPr>
      <w:rFonts w:ascii="Times New Roman" w:eastAsiaTheme="majorEastAsia" w:hAnsi="Times New Roman" w:cs="Times New Roman"/>
      <w:bCs/>
      <w:i/>
      <w:sz w:val="24"/>
    </w:rPr>
  </w:style>
  <w:style w:type="character" w:customStyle="1" w:styleId="berschrift4Zchn">
    <w:name w:val="Überschrift 4 Zchn"/>
    <w:basedOn w:val="Absatz-Standardschriftart"/>
    <w:link w:val="berschrift4"/>
    <w:uiPriority w:val="9"/>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Funotentext">
    <w:name w:val="footnote text"/>
    <w:aliases w:val="Schriftart: 9 pt,Schriftart: 10 pt,Schriftart: 8 pt,WB-Fußnotentext,Footnote Text Char2,Footnote Text Char1 Char,Footnote Text Char2 Char Char,Footnote Text Char1 Char Char Char,Footnote Text Char2 Char Char Char Char,fn, Car1,o,f"/>
    <w:basedOn w:val="Standard"/>
    <w:link w:val="FunotentextZchn"/>
    <w:uiPriority w:val="99"/>
    <w:unhideWhenUsed/>
    <w:qFormat/>
    <w:pPr>
      <w:spacing w:after="0" w:line="240" w:lineRule="auto"/>
      <w:ind w:left="720" w:hanging="720"/>
      <w:jc w:val="both"/>
    </w:pPr>
    <w:rPr>
      <w:rFonts w:ascii="Times New Roman" w:hAnsi="Times New Roman" w:cs="Times New Roman"/>
      <w:sz w:val="20"/>
      <w:szCs w:val="20"/>
    </w:rPr>
  </w:style>
  <w:style w:type="character" w:customStyle="1" w:styleId="FunotentextZchn">
    <w:name w:val="Fußnotentext Zchn"/>
    <w:aliases w:val="Schriftart: 9 pt Zchn,Schriftart: 10 pt Zchn,Schriftart: 8 pt Zchn,WB-Fußnotentext Zchn,Footnote Text Char2 Zchn,Footnote Text Char1 Char Zchn,Footnote Text Char2 Char Char Zchn,Footnote Text Char1 Char Char Char Zchn,fn Zchn,o Zchn"/>
    <w:basedOn w:val="Absatz-Standardschriftart"/>
    <w:link w:val="Funotentext"/>
    <w:uiPriority w:val="99"/>
    <w:rPr>
      <w:rFonts w:ascii="Times New Roman" w:hAnsi="Times New Roman" w:cs="Times New Roman"/>
      <w:sz w:val="20"/>
      <w:szCs w:val="20"/>
    </w:rPr>
  </w:style>
  <w:style w:type="character" w:styleId="Funotenzeichen">
    <w:name w:val="footnote reference"/>
    <w:aliases w:val="EN Footnote Reference,-E Fußnotenzeichen, BVI fnr,Footnote,Footnote symbol,Footnote number,Footnote Reference Number,Footnote reference number,Times 10 Point,Exposant 3 Point,Footnote Reference Superscript, Exposant 3 Point"/>
    <w:basedOn w:val="Absatz-Standardschriftart"/>
    <w:link w:val="CharCharChar1"/>
    <w:uiPriority w:val="99"/>
    <w:unhideWhenUsed/>
    <w:qFormat/>
    <w:rPr>
      <w:vertAlign w:val="superscript"/>
    </w:rPr>
  </w:style>
  <w:style w:type="paragraph" w:customStyle="1" w:styleId="CharCharChar1">
    <w:name w:val="Char Char Char1"/>
    <w:basedOn w:val="Standard"/>
    <w:link w:val="Funotenzeichen"/>
    <w:pPr>
      <w:spacing w:after="160" w:line="240" w:lineRule="exact"/>
    </w:pPr>
    <w:rPr>
      <w:vertAlign w:val="superscript"/>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Aufzhlungszeichen">
    <w:name w:val="List Bullet"/>
    <w:basedOn w:val="Standard"/>
    <w:pPr>
      <w:numPr>
        <w:numId w:val="5"/>
      </w:numPr>
      <w:spacing w:after="240" w:line="240" w:lineRule="auto"/>
      <w:jc w:val="both"/>
    </w:pPr>
    <w:rPr>
      <w:rFonts w:ascii="Times New Roman" w:eastAsia="Times New Roman" w:hAnsi="Times New Roman" w:cs="Times New Roman"/>
      <w:sz w:val="24"/>
      <w:szCs w:val="20"/>
    </w:rPr>
  </w:style>
  <w:style w:type="paragraph" w:styleId="Textkrper">
    <w:name w:val="Body Text"/>
    <w:aliases w:val="Body,Tekst,Tekst 12,Body1,Tekst1,Body2,Tekst2,Body3,Tekst3,Mull,Tekst podstawowy Znak Znak Znak Znak Znak Znak Znak Znak,b,bt,szaro,uvlaka 2,DNV-Body,Eko2-Body,omae Text,BodyText,(Norm),Μελέτη,Τίτλος Μελέτης Char Char,Car,Document,Do,Doc"/>
    <w:basedOn w:val="Standard"/>
    <w:link w:val="TextkrperZchn"/>
    <w:unhideWhenUsed/>
    <w:qFormat/>
    <w:rPr>
      <w:rFonts w:ascii="Calibri" w:eastAsia="Calibri" w:hAnsi="Calibri" w:cs="Times New Roman"/>
      <w:lang w:val="de-DE"/>
    </w:rPr>
  </w:style>
  <w:style w:type="character" w:customStyle="1" w:styleId="TextkrperZchn">
    <w:name w:val="Textkörper Zchn"/>
    <w:aliases w:val="Body Zchn,Tekst Zchn,Tekst 12 Zchn,Body1 Zchn,Tekst1 Zchn,Body2 Zchn,Tekst2 Zchn,Body3 Zchn,Tekst3 Zchn,Mull Zchn,Tekst podstawowy Znak Znak Znak Znak Znak Znak Znak Znak Zchn,b Zchn,bt Zchn,szaro Zchn,uvlaka 2 Zchn,DNV-Body Zchn,Do Zchn"/>
    <w:basedOn w:val="Absatz-Standardschriftart"/>
    <w:link w:val="Textkrper"/>
    <w:rPr>
      <w:rFonts w:ascii="Calibri" w:eastAsia="Calibri" w:hAnsi="Calibri" w:cs="Times New Roman"/>
      <w:lang w:val="de-DE"/>
    </w:rPr>
  </w:style>
  <w:style w:type="paragraph" w:styleId="Listennummer">
    <w:name w:val="List Number"/>
    <w:basedOn w:val="Standard"/>
    <w:pPr>
      <w:numPr>
        <w:numId w:val="15"/>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pPr>
      <w:numPr>
        <w:ilvl w:val="3"/>
        <w:numId w:val="15"/>
      </w:numPr>
      <w:spacing w:after="240" w:line="240" w:lineRule="auto"/>
      <w:jc w:val="both"/>
    </w:pPr>
    <w:rPr>
      <w:rFonts w:ascii="Times New Roman" w:eastAsia="Times New Roman" w:hAnsi="Times New Roman" w:cs="Times New Roman"/>
      <w:sz w:val="24"/>
      <w:szCs w:val="20"/>
    </w:rPr>
  </w:style>
  <w:style w:type="paragraph" w:styleId="KeinLeerraum">
    <w:name w:val="No Spacing"/>
    <w:uiPriority w:val="1"/>
    <w:qFormat/>
    <w:pPr>
      <w:spacing w:after="0" w:line="240" w:lineRule="auto"/>
    </w:pPr>
    <w:rPr>
      <w:rFonts w:eastAsiaTheme="minorEastAsia"/>
      <w:lang w:val="fi-FI" w:eastAsia="fi-FI"/>
    </w:rPr>
  </w:style>
  <w:style w:type="table" w:customStyle="1" w:styleId="TableGrid7">
    <w:name w:val="Table Grid7"/>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pPr>
      <w:spacing w:after="0" w:line="240" w:lineRule="auto"/>
    </w:pPr>
    <w:rPr>
      <w:color w:val="31849B" w:themeColor="accent5" w:themeShade="BF"/>
      <w:sz w:val="20"/>
      <w:szCs w:val="20"/>
      <w:lang w:eastAsia="en-GB"/>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6">
    <w:name w:val="Table Grid6"/>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Standard"/>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Standard"/>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table" w:customStyle="1" w:styleId="TableGrid5">
    <w:name w:val="Table Grid5"/>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nummer3">
    <w:name w:val="List Number 3"/>
    <w:basedOn w:val="Standard"/>
    <w:pPr>
      <w:numPr>
        <w:numId w:val="18"/>
      </w:numPr>
      <w:spacing w:after="240" w:line="240" w:lineRule="auto"/>
      <w:jc w:val="both"/>
    </w:pPr>
    <w:rPr>
      <w:rFonts w:ascii="Times New Roman" w:eastAsia="Times New Roman" w:hAnsi="Times New Roman" w:cs="Times New Roman"/>
      <w:sz w:val="24"/>
      <w:szCs w:val="2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table" w:styleId="MittlereListe2-Akzent5">
    <w:name w:val="Medium List 2 Accent 5"/>
    <w:basedOn w:val="NormaleTabelle"/>
    <w:uiPriority w:val="66"/>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rFonts w:asciiTheme="majorHAnsi" w:hAnsiTheme="majorHAnsi"/>
        <w:b w:val="0"/>
        <w:sz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NormaleTabelle"/>
    <w:next w:val="MittlereListe2-Akzent5"/>
    <w:uiPriority w:val="66"/>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libri" w:hAnsi="Calibri"/>
        <w:b w:val="0"/>
        <w:sz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NormaleTabelle"/>
    <w:next w:val="MittlereListe2-Akzent5"/>
    <w:uiPriority w:val="66"/>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libri" w:hAnsi="Calibri"/>
        <w:b w:val="0"/>
        <w:sz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NormaleTabelle"/>
    <w:next w:val="MittlereListe2-Akzent5"/>
    <w:uiPriority w:val="66"/>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libri" w:hAnsi="Calibri"/>
        <w:b w:val="0"/>
        <w:sz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Listenabsatz">
    <w:name w:val="List Paragraph"/>
    <w:basedOn w:val="Standard"/>
    <w:uiPriority w:val="34"/>
    <w:qFormat/>
    <w:pPr>
      <w:ind w:left="720"/>
      <w:contextualSpacing/>
    </w:pPr>
  </w:style>
  <w:style w:type="paragraph" w:customStyle="1" w:styleId="Text1">
    <w:name w:val="Text 1"/>
    <w:basedOn w:val="Standard"/>
    <w:pPr>
      <w:spacing w:before="120" w:after="120" w:line="240" w:lineRule="auto"/>
      <w:ind w:left="850"/>
      <w:jc w:val="both"/>
    </w:pPr>
    <w:rPr>
      <w:rFonts w:ascii="Times New Roman" w:hAnsi="Times New Roman" w:cs="Times New Roman"/>
      <w:sz w:val="24"/>
    </w:rPr>
  </w:style>
  <w:style w:type="paragraph" w:customStyle="1" w:styleId="Contact">
    <w:name w:val="Contact"/>
    <w:basedOn w:val="Standard"/>
    <w:next w:val="Standard"/>
    <w:pPr>
      <w:spacing w:before="480" w:after="0" w:line="240" w:lineRule="auto"/>
      <w:ind w:left="567" w:hanging="567"/>
    </w:pPr>
    <w:rPr>
      <w:rFonts w:ascii="Times New Roman" w:eastAsia="Times New Roman" w:hAnsi="Times New Roman" w:cs="Times New Roman"/>
      <w:sz w:val="24"/>
      <w:szCs w:val="20"/>
    </w:rPr>
  </w:style>
  <w:style w:type="paragraph" w:customStyle="1" w:styleId="ListBullet1">
    <w:name w:val="List Bullet 1"/>
    <w:basedOn w:val="Text1"/>
    <w:pPr>
      <w:numPr>
        <w:numId w:val="6"/>
      </w:numPr>
      <w:spacing w:before="0" w:after="240"/>
    </w:pPr>
    <w:rPr>
      <w:rFonts w:eastAsia="Times New Roman"/>
      <w:szCs w:val="20"/>
    </w:rPr>
  </w:style>
  <w:style w:type="paragraph" w:styleId="Aufzhlungszeichen2">
    <w:name w:val="List Bullet 2"/>
    <w:basedOn w:val="Standard"/>
    <w:pPr>
      <w:numPr>
        <w:numId w:val="7"/>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pPr>
      <w:numPr>
        <w:numId w:val="8"/>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11"/>
      </w:numPr>
      <w:spacing w:before="0" w:after="240"/>
    </w:pPr>
    <w:rPr>
      <w:rFonts w:eastAsia="Times New Roman"/>
      <w:szCs w:val="20"/>
    </w:rPr>
  </w:style>
  <w:style w:type="paragraph" w:customStyle="1" w:styleId="ListDash2">
    <w:name w:val="List Dash 2"/>
    <w:basedOn w:val="Standard"/>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pPr>
      <w:numPr>
        <w:numId w:val="14"/>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16"/>
      </w:numPr>
      <w:spacing w:before="0" w:after="240"/>
    </w:pPr>
    <w:rPr>
      <w:rFonts w:eastAsia="Times New Roman"/>
      <w:szCs w:val="20"/>
    </w:rPr>
  </w:style>
  <w:style w:type="paragraph" w:styleId="Listennummer2">
    <w:name w:val="List Number 2"/>
    <w:basedOn w:val="Standard"/>
    <w:pPr>
      <w:numPr>
        <w:numId w:val="17"/>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pPr>
      <w:numPr>
        <w:numId w:val="19"/>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Text1"/>
    <w:pPr>
      <w:numPr>
        <w:ilvl w:val="1"/>
        <w:numId w:val="16"/>
      </w:numPr>
      <w:spacing w:before="0" w:after="240"/>
    </w:pPr>
    <w:rPr>
      <w:rFonts w:eastAsia="Times New Roman"/>
      <w:szCs w:val="20"/>
    </w:rPr>
  </w:style>
  <w:style w:type="paragraph" w:customStyle="1" w:styleId="ListNumber2Level2">
    <w:name w:val="List Number 2 (Level 2)"/>
    <w:basedOn w:val="Standard"/>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Text1"/>
    <w:pPr>
      <w:numPr>
        <w:ilvl w:val="2"/>
        <w:numId w:val="16"/>
      </w:numPr>
      <w:spacing w:before="0" w:after="240"/>
    </w:pPr>
    <w:rPr>
      <w:rFonts w:eastAsia="Times New Roman"/>
      <w:szCs w:val="20"/>
    </w:rPr>
  </w:style>
  <w:style w:type="paragraph" w:customStyle="1" w:styleId="ListNumber2Level3">
    <w:name w:val="List Number 2 (Level 3)"/>
    <w:basedOn w:val="Standard"/>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Text1"/>
    <w:pPr>
      <w:numPr>
        <w:ilvl w:val="3"/>
        <w:numId w:val="16"/>
      </w:numPr>
      <w:spacing w:before="0" w:after="240"/>
    </w:pPr>
    <w:rPr>
      <w:rFonts w:eastAsia="Times New Roman"/>
      <w:szCs w:val="20"/>
    </w:rPr>
  </w:style>
  <w:style w:type="paragraph" w:customStyle="1" w:styleId="ListNumber2Level4">
    <w:name w:val="List Number 2 (Level 4)"/>
    <w:basedOn w:val="Standard"/>
    <w:pPr>
      <w:numPr>
        <w:ilvl w:val="3"/>
        <w:numId w:val="17"/>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pPr>
      <w:numPr>
        <w:ilvl w:val="3"/>
        <w:numId w:val="19"/>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pPr>
      <w:keepNext/>
      <w:spacing w:before="240" w:after="240" w:line="240" w:lineRule="auto"/>
      <w:jc w:val="center"/>
    </w:pPr>
    <w:rPr>
      <w:rFonts w:ascii="Times New Roman" w:eastAsia="Times New Roman" w:hAnsi="Times New Roman" w:cs="Times New Roman"/>
      <w:b/>
      <w:sz w:val="24"/>
      <w:szCs w:val="20"/>
    </w:rPr>
  </w:style>
  <w:style w:type="paragraph" w:styleId="Verzeichnis2">
    <w:name w:val="toc 2"/>
    <w:basedOn w:val="Standard"/>
    <w:next w:val="Standard"/>
    <w:semiHidden/>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Verzeichnis3">
    <w:name w:val="toc 3"/>
    <w:basedOn w:val="Standard"/>
    <w:next w:val="Standard"/>
    <w:semiHidden/>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Verzeichnis4">
    <w:name w:val="toc 4"/>
    <w:basedOn w:val="Standard"/>
    <w:next w:val="Standard"/>
    <w:semiHidden/>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paragraph" w:styleId="Dokumentstruktur">
    <w:name w:val="Document Map"/>
    <w:basedOn w:val="Standard"/>
    <w:link w:val="DokumentstrukturZchn"/>
    <w:uiPriority w:val="99"/>
    <w:semiHidden/>
    <w:unhideWhenUsed/>
    <w:pPr>
      <w:spacing w:after="120" w:line="240" w:lineRule="auto"/>
    </w:pPr>
    <w:rPr>
      <w:rFonts w:ascii="Lucida Grande" w:eastAsiaTheme="minorEastAsia" w:hAnsi="Lucida Grande" w:cs="Lucida Grande"/>
      <w:sz w:val="24"/>
      <w:szCs w:val="24"/>
      <w:lang w:val="el-GR"/>
    </w:rPr>
  </w:style>
  <w:style w:type="character" w:customStyle="1" w:styleId="DokumentstrukturZchn">
    <w:name w:val="Dokumentstruktur Zchn"/>
    <w:basedOn w:val="Absatz-Standardschriftart"/>
    <w:link w:val="Dokumentstruktur"/>
    <w:uiPriority w:val="99"/>
    <w:semiHidden/>
    <w:rPr>
      <w:rFonts w:ascii="Lucida Grande" w:eastAsiaTheme="minorEastAsia" w:hAnsi="Lucida Grande" w:cs="Lucida Grande"/>
      <w:sz w:val="24"/>
      <w:szCs w:val="24"/>
      <w:lang w:val="el-GR"/>
    </w:rPr>
  </w:style>
  <w:style w:type="table" w:styleId="HelleSchattierung-Akzent1">
    <w:name w:val="Light Shading Accent 1"/>
    <w:basedOn w:val="NormaleTabelle"/>
    <w:uiPriority w:val="60"/>
    <w:pPr>
      <w:spacing w:after="0" w:line="240" w:lineRule="auto"/>
    </w:pPr>
    <w:rPr>
      <w:rFonts w:eastAsiaTheme="minorEastAsia"/>
      <w:color w:val="365F91" w:themeColor="accent1" w:themeShade="BF"/>
      <w:sz w:val="24"/>
      <w:szCs w:val="24"/>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el">
    <w:name w:val="Title"/>
    <w:basedOn w:val="Standard"/>
    <w:next w:val="Standard"/>
    <w:link w:val="TitelZchn"/>
    <w:uiPriority w:val="10"/>
    <w:qFormat/>
    <w:pPr>
      <w:pBdr>
        <w:bottom w:val="single" w:sz="8" w:space="4" w:color="4F81BD" w:themeColor="accent1"/>
      </w:pBdr>
      <w:spacing w:after="120" w:line="240" w:lineRule="auto"/>
      <w:contextualSpacing/>
    </w:pPr>
    <w:rPr>
      <w:rFonts w:asciiTheme="majorHAnsi" w:eastAsiaTheme="majorEastAsia" w:hAnsiTheme="majorHAnsi" w:cstheme="majorBidi"/>
      <w:color w:val="17365D" w:themeColor="text2" w:themeShade="BF"/>
      <w:spacing w:val="5"/>
      <w:kern w:val="28"/>
      <w:sz w:val="52"/>
      <w:szCs w:val="52"/>
      <w:lang w:val="el-GR"/>
    </w:rPr>
  </w:style>
  <w:style w:type="character" w:customStyle="1" w:styleId="TitelZchn">
    <w:name w:val="Titel Zchn"/>
    <w:basedOn w:val="Absatz-Standardschriftart"/>
    <w:link w:val="Titel"/>
    <w:uiPriority w:val="10"/>
    <w:rPr>
      <w:rFonts w:asciiTheme="majorHAnsi" w:eastAsiaTheme="majorEastAsia" w:hAnsiTheme="majorHAnsi" w:cstheme="majorBidi"/>
      <w:color w:val="17365D" w:themeColor="text2" w:themeShade="BF"/>
      <w:spacing w:val="5"/>
      <w:kern w:val="28"/>
      <w:sz w:val="52"/>
      <w:szCs w:val="52"/>
      <w:lang w:val="el-GR"/>
    </w:rPr>
  </w:style>
  <w:style w:type="paragraph" w:styleId="Beschriftung">
    <w:name w:val="caption"/>
    <w:basedOn w:val="Standard"/>
    <w:next w:val="Standard"/>
    <w:uiPriority w:val="35"/>
    <w:unhideWhenUsed/>
    <w:qFormat/>
    <w:pPr>
      <w:spacing w:after="120" w:line="240" w:lineRule="auto"/>
    </w:pPr>
    <w:rPr>
      <w:rFonts w:ascii="Avenir Book" w:eastAsiaTheme="minorEastAsia" w:hAnsi="Avenir Book"/>
      <w:bCs/>
      <w:color w:val="4F81BD" w:themeColor="accent1"/>
      <w:szCs w:val="18"/>
      <w:lang w:val="el-GR"/>
    </w:rPr>
  </w:style>
  <w:style w:type="paragraph" w:styleId="Untertitel">
    <w:name w:val="Subtitle"/>
    <w:basedOn w:val="Standard"/>
    <w:next w:val="Standard"/>
    <w:link w:val="UntertitelZchn"/>
    <w:uiPriority w:val="11"/>
    <w:qFormat/>
    <w:pPr>
      <w:numPr>
        <w:ilvl w:val="1"/>
      </w:numPr>
      <w:spacing w:after="120" w:line="240" w:lineRule="auto"/>
    </w:pPr>
    <w:rPr>
      <w:rFonts w:asciiTheme="majorHAnsi" w:eastAsiaTheme="majorEastAsia" w:hAnsiTheme="majorHAnsi" w:cstheme="majorBidi"/>
      <w:i/>
      <w:iCs/>
      <w:color w:val="4F81BD" w:themeColor="accent1"/>
      <w:spacing w:val="15"/>
      <w:sz w:val="24"/>
      <w:szCs w:val="24"/>
      <w:lang w:val="el-GR"/>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i/>
      <w:iCs/>
      <w:color w:val="4F81BD" w:themeColor="accent1"/>
      <w:spacing w:val="15"/>
      <w:sz w:val="24"/>
      <w:szCs w:val="24"/>
      <w:lang w:val="el-GR"/>
    </w:rPr>
  </w:style>
  <w:style w:type="table" w:styleId="MittlereListe1-Akzent5">
    <w:name w:val="Medium List 1 Accent 5"/>
    <w:basedOn w:val="NormaleTabelle"/>
    <w:uiPriority w:val="65"/>
    <w:pPr>
      <w:spacing w:after="0" w:line="240" w:lineRule="auto"/>
    </w:pPr>
    <w:rPr>
      <w:rFonts w:eastAsiaTheme="minorEastAsia"/>
      <w:color w:val="000000" w:themeColor="text1"/>
      <w:sz w:val="24"/>
      <w:szCs w:val="24"/>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pPr>
    <w:rPr>
      <w:rFonts w:ascii="Courier" w:eastAsiaTheme="minorEastAsia" w:hAnsi="Courier" w:cs="Courier"/>
      <w:sz w:val="20"/>
      <w:szCs w:val="20"/>
      <w:lang w:val="en-US"/>
    </w:rPr>
  </w:style>
  <w:style w:type="character" w:customStyle="1" w:styleId="HTMLVorformatiertZchn">
    <w:name w:val="HTML Vorformatiert Zchn"/>
    <w:basedOn w:val="Absatz-Standardschriftart"/>
    <w:link w:val="HTMLVorformatiert"/>
    <w:uiPriority w:val="99"/>
    <w:semiHidden/>
    <w:rPr>
      <w:rFonts w:ascii="Courier" w:eastAsiaTheme="minorEastAsia" w:hAnsi="Courier" w:cs="Courier"/>
      <w:sz w:val="20"/>
      <w:szCs w:val="20"/>
      <w:lang w:val="en-US"/>
    </w:rPr>
  </w:style>
  <w:style w:type="table" w:styleId="HellesRaster-Akzent2">
    <w:name w:val="Light Grid Accent 2"/>
    <w:basedOn w:val="NormaleTabelle"/>
    <w:uiPriority w:val="62"/>
    <w:pPr>
      <w:spacing w:after="0" w:line="240" w:lineRule="auto"/>
    </w:pPr>
    <w:rPr>
      <w:rFonts w:eastAsiaTheme="minorEastAsia"/>
      <w:sz w:val="24"/>
      <w:szCs w:val="24"/>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17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18.xml"/><Relationship Id="rId21" Type="http://schemas.openxmlformats.org/officeDocument/2006/relationships/footer" Target="footer6.xml"/><Relationship Id="rId42" Type="http://schemas.openxmlformats.org/officeDocument/2006/relationships/hyperlink" Target="http://erc.europa.eu/future-erc" TargetMode="External"/><Relationship Id="rId47" Type="http://schemas.openxmlformats.org/officeDocument/2006/relationships/hyperlink" Target="https://ec.europa.eu/research/fp7/index_en.cfm?pg=potential" TargetMode="External"/><Relationship Id="rId63" Type="http://schemas.openxmlformats.org/officeDocument/2006/relationships/hyperlink" Target="https://ec.europa.eu/research/fp7/index_en.cfm?pg=society" TargetMode="External"/><Relationship Id="rId68" Type="http://schemas.openxmlformats.org/officeDocument/2006/relationships/image" Target="media/image15.png"/><Relationship Id="rId84" Type="http://schemas.openxmlformats.org/officeDocument/2006/relationships/hyperlink" Target="http://ec.europa.eu/research/innovation-union/index_en.cfm?section=active-healthy-ageing" TargetMode="External"/><Relationship Id="rId89" Type="http://schemas.openxmlformats.org/officeDocument/2006/relationships/header" Target="header11.xml"/><Relationship Id="rId112" Type="http://schemas.openxmlformats.org/officeDocument/2006/relationships/image" Target="media/image27.png"/><Relationship Id="rId16" Type="http://schemas.openxmlformats.org/officeDocument/2006/relationships/header" Target="header4.xml"/><Relationship Id="rId107" Type="http://schemas.openxmlformats.org/officeDocument/2006/relationships/image" Target="media/image24.png"/><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hyperlink" Target="https://en.wikipedia.org/wiki/Eyjafjallaj%C3%B6kull" TargetMode="External"/><Relationship Id="rId53" Type="http://schemas.openxmlformats.org/officeDocument/2006/relationships/image" Target="media/image10.png"/><Relationship Id="rId58" Type="http://schemas.openxmlformats.org/officeDocument/2006/relationships/image" Target="media/image13.emf"/><Relationship Id="rId74" Type="http://schemas.openxmlformats.org/officeDocument/2006/relationships/image" Target="media/image18.gif"/><Relationship Id="rId79" Type="http://schemas.openxmlformats.org/officeDocument/2006/relationships/hyperlink" Target="http://www.aalforum.eu/" TargetMode="External"/><Relationship Id="rId102" Type="http://schemas.openxmlformats.org/officeDocument/2006/relationships/image" Target="media/image21.emf"/><Relationship Id="rId123" Type="http://schemas.openxmlformats.org/officeDocument/2006/relationships/header" Target="header21.xml"/><Relationship Id="rId128" Type="http://schemas.openxmlformats.org/officeDocument/2006/relationships/footer" Target="footer23.xml"/><Relationship Id="rId5" Type="http://schemas.openxmlformats.org/officeDocument/2006/relationships/settings" Target="settings.xml"/><Relationship Id="rId90" Type="http://schemas.openxmlformats.org/officeDocument/2006/relationships/footer" Target="footer10.xml"/><Relationship Id="rId95" Type="http://schemas.openxmlformats.org/officeDocument/2006/relationships/header" Target="header14.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2.jpg"/><Relationship Id="rId35" Type="http://schemas.openxmlformats.org/officeDocument/2006/relationships/image" Target="media/image6.jpg"/><Relationship Id="rId43" Type="http://schemas.openxmlformats.org/officeDocument/2006/relationships/chart" Target="charts/chart1.xml"/><Relationship Id="rId48" Type="http://schemas.openxmlformats.org/officeDocument/2006/relationships/hyperlink" Target="https://ec.europa.eu/research/fp7/index_en.cfm?pg=society" TargetMode="External"/><Relationship Id="rId56" Type="http://schemas.openxmlformats.org/officeDocument/2006/relationships/image" Target="media/image11.gif"/><Relationship Id="rId64" Type="http://schemas.openxmlformats.org/officeDocument/2006/relationships/chart" Target="charts/chart2.xml"/><Relationship Id="rId69" Type="http://schemas.openxmlformats.org/officeDocument/2006/relationships/oleObject" Target="embeddings/oleObject1.bin"/><Relationship Id="rId77" Type="http://schemas.openxmlformats.org/officeDocument/2006/relationships/hyperlink" Target="http://www.aal-europe.eu/wp-content/uploads/2013/10/AALCatalogue2013_Final.pdf" TargetMode="External"/><Relationship Id="rId100" Type="http://schemas.openxmlformats.org/officeDocument/2006/relationships/chart" Target="charts/chart6.xml"/><Relationship Id="rId105" Type="http://schemas.openxmlformats.org/officeDocument/2006/relationships/hyperlink" Target="http://www.scimagojr.com" TargetMode="External"/><Relationship Id="rId113" Type="http://schemas.openxmlformats.org/officeDocument/2006/relationships/header" Target="header16.xml"/><Relationship Id="rId118" Type="http://schemas.openxmlformats.org/officeDocument/2006/relationships/footer" Target="footer18.xml"/><Relationship Id="rId126"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hyperlink" Target="https://ec.europa.eu/research/fp7/index_en.cfm?pg=infra" TargetMode="External"/><Relationship Id="rId72" Type="http://schemas.openxmlformats.org/officeDocument/2006/relationships/image" Target="media/image17.png"/><Relationship Id="rId80" Type="http://schemas.openxmlformats.org/officeDocument/2006/relationships/hyperlink" Target="http://www.aalforum.eu/" TargetMode="External"/><Relationship Id="rId85" Type="http://schemas.openxmlformats.org/officeDocument/2006/relationships/hyperlink" Target="http://www.openaire.eu" TargetMode="External"/><Relationship Id="rId93" Type="http://schemas.openxmlformats.org/officeDocument/2006/relationships/footer" Target="footer12.xml"/><Relationship Id="rId98" Type="http://schemas.openxmlformats.org/officeDocument/2006/relationships/header" Target="header15.xml"/><Relationship Id="rId12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hyperlink" Target="https://en.wikipedia.org/wiki/Iceland" TargetMode="External"/><Relationship Id="rId46" Type="http://schemas.openxmlformats.org/officeDocument/2006/relationships/hyperlink" Target="https://ec.europa.eu/research/fp7/index_en.cfm?pg=know" TargetMode="External"/><Relationship Id="rId59" Type="http://schemas.openxmlformats.org/officeDocument/2006/relationships/hyperlink" Target="https://ec.europa.eu/research/fp7/index_en.cfm?pg=sme" TargetMode="External"/><Relationship Id="rId67" Type="http://schemas.openxmlformats.org/officeDocument/2006/relationships/image" Target="media/image14.emf"/><Relationship Id="rId103" Type="http://schemas.openxmlformats.org/officeDocument/2006/relationships/chart" Target="charts/chart7.xml"/><Relationship Id="rId108" Type="http://schemas.openxmlformats.org/officeDocument/2006/relationships/chart" Target="charts/chart8.xml"/><Relationship Id="rId116" Type="http://schemas.openxmlformats.org/officeDocument/2006/relationships/footer" Target="footer17.xml"/><Relationship Id="rId124" Type="http://schemas.openxmlformats.org/officeDocument/2006/relationships/footer" Target="footer21.xml"/><Relationship Id="rId129" Type="http://schemas.openxmlformats.org/officeDocument/2006/relationships/header" Target="header24.xml"/><Relationship Id="rId20" Type="http://schemas.openxmlformats.org/officeDocument/2006/relationships/header" Target="header6.xml"/><Relationship Id="rId41" Type="http://schemas.openxmlformats.org/officeDocument/2006/relationships/hyperlink" Target="https://www.google.be/search?hl=en&amp;q=marie+sklodowska+curie&amp;spell=1&amp;sa=X&amp;ved=0CBkQvwUoAGoVChMIhZfBra_ExwIVR1YaCh0PsQdD" TargetMode="External"/><Relationship Id="rId54" Type="http://schemas.openxmlformats.org/officeDocument/2006/relationships/hyperlink" Target="http://www.eso.org/sci/facilities/eelt/" TargetMode="External"/><Relationship Id="rId62" Type="http://schemas.openxmlformats.org/officeDocument/2006/relationships/hyperlink" Target="http://eeas.europa.eu/enp/" TargetMode="External"/><Relationship Id="rId70" Type="http://schemas.openxmlformats.org/officeDocument/2006/relationships/image" Target="media/image16.png"/><Relationship Id="rId75" Type="http://schemas.openxmlformats.org/officeDocument/2006/relationships/chart" Target="charts/chart3.xml"/><Relationship Id="rId83" Type="http://schemas.openxmlformats.org/officeDocument/2006/relationships/hyperlink" Target="https://ec.europa.eu/digital-agenda/node/69975" TargetMode="External"/><Relationship Id="rId88" Type="http://schemas.openxmlformats.org/officeDocument/2006/relationships/header" Target="header10.xml"/><Relationship Id="rId91" Type="http://schemas.openxmlformats.org/officeDocument/2006/relationships/footer" Target="footer11.xml"/><Relationship Id="rId96" Type="http://schemas.openxmlformats.org/officeDocument/2006/relationships/footer" Target="footer13.xml"/><Relationship Id="rId111" Type="http://schemas.openxmlformats.org/officeDocument/2006/relationships/image" Target="media/image26.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ec.europa.eu/economy_finance/explained/the_financial_and_economic_crisis/responding_to_the_debt_crisis/index_en.htm" TargetMode="External"/><Relationship Id="rId36" Type="http://schemas.openxmlformats.org/officeDocument/2006/relationships/image" Target="media/image7.jpg"/><Relationship Id="rId49" Type="http://schemas.openxmlformats.org/officeDocument/2006/relationships/hyperlink" Target="https://ec.europa.eu/research/fp7/index_en.cfm?pg=policy" TargetMode="External"/><Relationship Id="rId57" Type="http://schemas.openxmlformats.org/officeDocument/2006/relationships/image" Target="media/image12.jpeg"/><Relationship Id="rId106" Type="http://schemas.openxmlformats.org/officeDocument/2006/relationships/image" Target="media/image23.png"/><Relationship Id="rId114" Type="http://schemas.openxmlformats.org/officeDocument/2006/relationships/header" Target="header17.xml"/><Relationship Id="rId119" Type="http://schemas.openxmlformats.org/officeDocument/2006/relationships/header" Target="header19.xml"/><Relationship Id="rId127" Type="http://schemas.openxmlformats.org/officeDocument/2006/relationships/footer" Target="footer22.xml"/><Relationship Id="rId10" Type="http://schemas.openxmlformats.org/officeDocument/2006/relationships/header" Target="header1.xml"/><Relationship Id="rId31" Type="http://schemas.openxmlformats.org/officeDocument/2006/relationships/image" Target="media/image3.emf"/><Relationship Id="rId44" Type="http://schemas.openxmlformats.org/officeDocument/2006/relationships/hyperlink" Target="https://ec.europa.eu/research/fp7/index_en.cfm?pg=infra" TargetMode="External"/><Relationship Id="rId52" Type="http://schemas.openxmlformats.org/officeDocument/2006/relationships/image" Target="media/image9.png"/><Relationship Id="rId60" Type="http://schemas.openxmlformats.org/officeDocument/2006/relationships/hyperlink" Target="https://ec.europa.eu/research/fp7/index_en.cfm?pg=know" TargetMode="External"/><Relationship Id="rId65" Type="http://schemas.openxmlformats.org/officeDocument/2006/relationships/hyperlink" Target="https://ec.europa.eu/research/fp7/index_en.cfm?pg=policy" TargetMode="External"/><Relationship Id="rId73" Type="http://schemas.openxmlformats.org/officeDocument/2006/relationships/oleObject" Target="embeddings/oleObject3.bin"/><Relationship Id="rId78" Type="http://schemas.openxmlformats.org/officeDocument/2006/relationships/hyperlink" Target="https://ec.europa.eu/digital-agenda/node/68343" TargetMode="External"/><Relationship Id="rId81" Type="http://schemas.openxmlformats.org/officeDocument/2006/relationships/hyperlink" Target="https://ec.europa.eu/digital-agenda/node/68452" TargetMode="External"/><Relationship Id="rId86" Type="http://schemas.openxmlformats.org/officeDocument/2006/relationships/chart" Target="charts/chart5.xml"/><Relationship Id="rId94"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image" Target="media/image20.emf"/><Relationship Id="rId122" Type="http://schemas.openxmlformats.org/officeDocument/2006/relationships/footer" Target="footer20.xml"/><Relationship Id="rId130"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erc.europa.eu/project-and-results/succes-stories/special-feature-erc-funded-research-volcanoes-and-their-wider-imp" TargetMode="External"/><Relationship Id="rId109" Type="http://schemas.openxmlformats.org/officeDocument/2006/relationships/chart" Target="charts/chart9.xml"/><Relationship Id="rId34" Type="http://schemas.openxmlformats.org/officeDocument/2006/relationships/image" Target="cid:image001.png@01CFD691.078A7470" TargetMode="External"/><Relationship Id="rId50" Type="http://schemas.openxmlformats.org/officeDocument/2006/relationships/hyperlink" Target="https://ec.europa.eu/research/fp7/index_en.cfm?pg=inco" TargetMode="External"/><Relationship Id="rId55" Type="http://schemas.openxmlformats.org/officeDocument/2006/relationships/hyperlink" Target="http://www.e-irg.eu/" TargetMode="External"/><Relationship Id="rId76" Type="http://schemas.openxmlformats.org/officeDocument/2006/relationships/chart" Target="charts/chart4.xml"/><Relationship Id="rId97" Type="http://schemas.openxmlformats.org/officeDocument/2006/relationships/footer" Target="footer14.xml"/><Relationship Id="rId104" Type="http://schemas.openxmlformats.org/officeDocument/2006/relationships/image" Target="media/image22.png"/><Relationship Id="rId120" Type="http://schemas.openxmlformats.org/officeDocument/2006/relationships/header" Target="header20.xml"/><Relationship Id="rId125"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yperlink" Target="http://ec.europa.eu/europe2020/index_en.htm" TargetMode="External"/><Relationship Id="rId24" Type="http://schemas.openxmlformats.org/officeDocument/2006/relationships/footer" Target="footer7.xml"/><Relationship Id="rId40" Type="http://schemas.openxmlformats.org/officeDocument/2006/relationships/image" Target="media/image8.jpg"/><Relationship Id="rId45" Type="http://schemas.openxmlformats.org/officeDocument/2006/relationships/hyperlink" Target="https://ec.europa.eu/research/fp7/index_en.cfm?pg=sme" TargetMode="External"/><Relationship Id="rId66" Type="http://schemas.openxmlformats.org/officeDocument/2006/relationships/hyperlink" Target="https://ec.europa.eu/research/fp7/index_en.cfm?pg=inco" TargetMode="External"/><Relationship Id="rId87" Type="http://schemas.openxmlformats.org/officeDocument/2006/relationships/image" Target="media/image19.png"/><Relationship Id="rId110" Type="http://schemas.openxmlformats.org/officeDocument/2006/relationships/image" Target="media/image25.png"/><Relationship Id="rId115" Type="http://schemas.openxmlformats.org/officeDocument/2006/relationships/footer" Target="footer16.xml"/><Relationship Id="rId131" Type="http://schemas.openxmlformats.org/officeDocument/2006/relationships/fontTable" Target="fontTable.xml"/><Relationship Id="rId61" Type="http://schemas.openxmlformats.org/officeDocument/2006/relationships/hyperlink" Target="https://ec.europa.eu/research/fp7/index_en.cfm?pg=potential" TargetMode="External"/><Relationship Id="rId82" Type="http://schemas.openxmlformats.org/officeDocument/2006/relationships/hyperlink" Target="https://ec.europa.eu/digital-agenda/node/6718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research/evaluations/pdf/archive/other_reports_studies_and_documents/mid-term_evaluation_of_the_risk-sharing_financial_facility_(rsff)_-_expert_group_report.pdf" TargetMode="External"/><Relationship Id="rId13" Type="http://schemas.openxmlformats.org/officeDocument/2006/relationships/hyperlink" Target="http://ec.europa.eu/eurostat/web/microdata/community-innovation-survey" TargetMode="External"/><Relationship Id="rId3" Type="http://schemas.openxmlformats.org/officeDocument/2006/relationships/hyperlink" Target="http://www.eurecia-erc.net" TargetMode="External"/><Relationship Id="rId7" Type="http://schemas.openxmlformats.org/officeDocument/2006/relationships/hyperlink" Target="http://www.benisi.eu" TargetMode="External"/><Relationship Id="rId12" Type="http://schemas.openxmlformats.org/officeDocument/2006/relationships/hyperlink" Target="https://guidelines.openaire.eu/en/latest/literature/field_publicationtype.html" TargetMode="External"/><Relationship Id="rId2" Type="http://schemas.openxmlformats.org/officeDocument/2006/relationships/hyperlink" Target="http://www.research-information.de/Projekte/Merci/projekte_merci_lang.asp" TargetMode="External"/><Relationship Id="rId1" Type="http://schemas.openxmlformats.org/officeDocument/2006/relationships/hyperlink" Target="http://erc.europa.eu/sites/default/files/press_release/files/ERC_Press_Release_ICM_2014.pdf" TargetMode="External"/><Relationship Id="rId6" Type="http://schemas.openxmlformats.org/officeDocument/2006/relationships/hyperlink" Target="http://www.transitionproject.eu" TargetMode="External"/><Relationship Id="rId11" Type="http://schemas.openxmlformats.org/officeDocument/2006/relationships/hyperlink" Target="https://www.openaire.eu/postgrant/fp7-post-grant/pilot" TargetMode="External"/><Relationship Id="rId5" Type="http://schemas.openxmlformats.org/officeDocument/2006/relationships/hyperlink" Target="http://www.eurecia-erc.net" TargetMode="External"/><Relationship Id="rId10" Type="http://schemas.openxmlformats.org/officeDocument/2006/relationships/hyperlink" Target="http://myrrha.sckcen.be/" TargetMode="External"/><Relationship Id="rId4" Type="http://schemas.openxmlformats.org/officeDocument/2006/relationships/hyperlink" Target="http://erc.europa.eu/pdf/final_report_230709.pdf" TargetMode="External"/><Relationship Id="rId9" Type="http://schemas.openxmlformats.org/officeDocument/2006/relationships/hyperlink" Target="http://ec.europa.eu/research/evaluations/pdf/archive/other_reports_studies_and_documents/interim_evaluation_report_rsf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192.168.0.252\2011-DG%20EAC-Marie%20Curie\Original%20tables%20and%20figures\EQ%20No%203\Question%203%20figur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zarnto\AppData\Local\Microsoft\Windows\Temporary%20Internet%20Files\Content.Outlook\GN39C3LR\Data%20on%20mobility.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oA\OpenAIRE2020\WP9%20-%20Frontend%20Services\FP7%20Evaluation\fp7%20publications%20in%20I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F81BD"/>
            </a:solidFill>
            <a:ln>
              <a:solidFill>
                <a:schemeClr val="tx1"/>
              </a:solidFill>
            </a:ln>
          </c:spPr>
          <c:invertIfNegative val="0"/>
          <c:dLbls>
            <c:numFmt formatCode="0%" sourceLinked="0"/>
            <c:txPr>
              <a:bodyPr/>
              <a:lstStyle/>
              <a:p>
                <a:pPr>
                  <a:defRPr sz="800">
                    <a:latin typeface="Calibri" pitchFamily="34" charset="0"/>
                  </a:defRPr>
                </a:pPr>
                <a:endParaRPr lang="de-DE"/>
              </a:p>
            </c:txPr>
            <c:showLegendKey val="0"/>
            <c:showVal val="1"/>
            <c:showCatName val="0"/>
            <c:showSerName val="0"/>
            <c:showPercent val="0"/>
            <c:showBubbleSize val="0"/>
            <c:showLeaderLines val="0"/>
          </c:dLbls>
          <c:cat>
            <c:strRef>
              <c:f>'C:\Documents and Settings\Dovycatu\Desktop\[Book1.xlsx]Sheet4'!$B$10:$B$16</c:f>
              <c:strCache>
                <c:ptCount val="7"/>
                <c:pt idx="0">
                  <c:v>Provided attractive opportunities to develop their research skills</c:v>
                </c:pt>
                <c:pt idx="1">
                  <c:v>Provided attractive access to scientific knowledge and databases</c:v>
                </c:pt>
                <c:pt idx="2">
                  <c:v>Provided attractive access to research infrastructures and facilities</c:v>
                </c:pt>
                <c:pt idx="3">
                  <c:v>Provided attractive opportunities to get funding for their research</c:v>
                </c:pt>
                <c:pt idx="4">
                  <c:v>Provided attractive opportunities to gain a research position with better career prospects</c:v>
                </c:pt>
                <c:pt idx="5">
                  <c:v>Provided attractive opportunities to switch or to return to researcher’s career </c:v>
                </c:pt>
                <c:pt idx="6">
                  <c:v>Provided attractive opportunities to return to their home country after a period of research abroad</c:v>
                </c:pt>
              </c:strCache>
            </c:strRef>
          </c:cat>
          <c:val>
            <c:numRef>
              <c:f>'C:\Documents and Settings\Dovycatu\Desktop\[Book1.xlsx]Sheet4'!$C$10:$C$16</c:f>
              <c:numCache>
                <c:formatCode>General</c:formatCode>
                <c:ptCount val="7"/>
                <c:pt idx="0">
                  <c:v>0.93799999999999994</c:v>
                </c:pt>
                <c:pt idx="1">
                  <c:v>0.80900000000000005</c:v>
                </c:pt>
                <c:pt idx="2">
                  <c:v>0.76600000000000001</c:v>
                </c:pt>
                <c:pt idx="3">
                  <c:v>0.61099999999999999</c:v>
                </c:pt>
                <c:pt idx="4">
                  <c:v>0.60099999999999998</c:v>
                </c:pt>
                <c:pt idx="5">
                  <c:v>0.45600000000000002</c:v>
                </c:pt>
                <c:pt idx="6">
                  <c:v>0.41199999999999998</c:v>
                </c:pt>
              </c:numCache>
            </c:numRef>
          </c:val>
        </c:ser>
        <c:dLbls>
          <c:showLegendKey val="0"/>
          <c:showVal val="0"/>
          <c:showCatName val="0"/>
          <c:showSerName val="0"/>
          <c:showPercent val="0"/>
          <c:showBubbleSize val="0"/>
        </c:dLbls>
        <c:gapWidth val="150"/>
        <c:axId val="43800064"/>
        <c:axId val="43801600"/>
      </c:barChart>
      <c:catAx>
        <c:axId val="43800064"/>
        <c:scaling>
          <c:orientation val="minMax"/>
        </c:scaling>
        <c:delete val="0"/>
        <c:axPos val="l"/>
        <c:numFmt formatCode="General" sourceLinked="1"/>
        <c:majorTickMark val="out"/>
        <c:minorTickMark val="none"/>
        <c:tickLblPos val="nextTo"/>
        <c:txPr>
          <a:bodyPr/>
          <a:lstStyle/>
          <a:p>
            <a:pPr>
              <a:defRPr sz="800">
                <a:latin typeface="Calibri" pitchFamily="34" charset="0"/>
              </a:defRPr>
            </a:pPr>
            <a:endParaRPr lang="de-DE"/>
          </a:p>
        </c:txPr>
        <c:crossAx val="43801600"/>
        <c:crosses val="autoZero"/>
        <c:auto val="1"/>
        <c:lblAlgn val="ctr"/>
        <c:lblOffset val="100"/>
        <c:noMultiLvlLbl val="0"/>
      </c:catAx>
      <c:valAx>
        <c:axId val="43801600"/>
        <c:scaling>
          <c:orientation val="minMax"/>
        </c:scaling>
        <c:delete val="0"/>
        <c:axPos val="b"/>
        <c:majorGridlines/>
        <c:title>
          <c:tx>
            <c:rich>
              <a:bodyPr/>
              <a:lstStyle/>
              <a:p>
                <a:pPr>
                  <a:defRPr>
                    <a:latin typeface="Calibri" pitchFamily="34" charset="0"/>
                  </a:defRPr>
                </a:pPr>
                <a:r>
                  <a:rPr lang="en-US">
                    <a:latin typeface="Calibri" pitchFamily="34" charset="0"/>
                  </a:rPr>
                  <a:t>% of respondents</a:t>
                </a:r>
              </a:p>
            </c:rich>
          </c:tx>
          <c:overlay val="0"/>
        </c:title>
        <c:numFmt formatCode="0%" sourceLinked="0"/>
        <c:majorTickMark val="out"/>
        <c:minorTickMark val="none"/>
        <c:tickLblPos val="nextTo"/>
        <c:txPr>
          <a:bodyPr/>
          <a:lstStyle/>
          <a:p>
            <a:pPr>
              <a:defRPr sz="800">
                <a:latin typeface="Calibri" pitchFamily="34" charset="0"/>
              </a:defRPr>
            </a:pPr>
            <a:endParaRPr lang="de-DE"/>
          </a:p>
        </c:txPr>
        <c:crossAx val="4380006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Impacts of the FP7 SiS projects on scientific advice and decision-making processes</a:t>
            </a:r>
          </a:p>
        </c:rich>
      </c:tx>
      <c:layout>
        <c:manualLayout>
          <c:xMode val="edge"/>
          <c:yMode val="edge"/>
          <c:x val="0.11627264735112"/>
          <c:y val="2.1756867011150399E-2"/>
        </c:manualLayout>
      </c:layout>
      <c:overlay val="0"/>
    </c:title>
    <c:autoTitleDeleted val="0"/>
    <c:plotArea>
      <c:layout>
        <c:manualLayout>
          <c:layoutTarget val="inner"/>
          <c:xMode val="edge"/>
          <c:yMode val="edge"/>
          <c:x val="0.22416556756884801"/>
          <c:y val="0.290472440944882"/>
          <c:w val="0.72581934780720103"/>
          <c:h val="0.51215095910368003"/>
        </c:manualLayout>
      </c:layout>
      <c:barChart>
        <c:barDir val="bar"/>
        <c:grouping val="percentStacked"/>
        <c:varyColors val="0"/>
        <c:ser>
          <c:idx val="0"/>
          <c:order val="0"/>
          <c:tx>
            <c:strRef>
              <c:f>'All consolidated responses'!$DP$150</c:f>
              <c:strCache>
                <c:ptCount val="1"/>
                <c:pt idx="0">
                  <c:v>No impact</c:v>
                </c:pt>
              </c:strCache>
            </c:strRef>
          </c:tx>
          <c:spPr>
            <a:effectLst/>
          </c:spPr>
          <c:invertIfNegative val="0"/>
          <c:cat>
            <c:strRef>
              <c:f>'All consolidated responses'!$DO$151:$DO$155</c:f>
              <c:strCache>
                <c:ptCount val="5"/>
                <c:pt idx="0">
                  <c:v>At the local level</c:v>
                </c:pt>
                <c:pt idx="1">
                  <c:v>At the European level</c:v>
                </c:pt>
                <c:pt idx="2">
                  <c:v>At the Regional level</c:v>
                </c:pt>
                <c:pt idx="3">
                  <c:v>At the National level</c:v>
                </c:pt>
                <c:pt idx="4">
                  <c:v>At the Global level</c:v>
                </c:pt>
              </c:strCache>
            </c:strRef>
          </c:cat>
          <c:val>
            <c:numRef>
              <c:f>'All consolidated responses'!$DP$151:$DP$155</c:f>
              <c:numCache>
                <c:formatCode>0%</c:formatCode>
                <c:ptCount val="5"/>
                <c:pt idx="0">
                  <c:v>0.119047619047619</c:v>
                </c:pt>
                <c:pt idx="1">
                  <c:v>7.0588235294117604E-2</c:v>
                </c:pt>
                <c:pt idx="2">
                  <c:v>0.109756097560976</c:v>
                </c:pt>
                <c:pt idx="3">
                  <c:v>5.8823529411764698E-2</c:v>
                </c:pt>
                <c:pt idx="4">
                  <c:v>0.157894736842105</c:v>
                </c:pt>
              </c:numCache>
            </c:numRef>
          </c:val>
        </c:ser>
        <c:ser>
          <c:idx val="1"/>
          <c:order val="1"/>
          <c:tx>
            <c:strRef>
              <c:f>'All consolidated responses'!$DQ$150</c:f>
              <c:strCache>
                <c:ptCount val="1"/>
                <c:pt idx="0">
                  <c:v>Small impact</c:v>
                </c:pt>
              </c:strCache>
            </c:strRef>
          </c:tx>
          <c:spPr>
            <a:effectLst/>
          </c:spPr>
          <c:invertIfNegative val="0"/>
          <c:cat>
            <c:strRef>
              <c:f>'All consolidated responses'!$DO$151:$DO$155</c:f>
              <c:strCache>
                <c:ptCount val="5"/>
                <c:pt idx="0">
                  <c:v>At the local level</c:v>
                </c:pt>
                <c:pt idx="1">
                  <c:v>At the European level</c:v>
                </c:pt>
                <c:pt idx="2">
                  <c:v>At the Regional level</c:v>
                </c:pt>
                <c:pt idx="3">
                  <c:v>At the National level</c:v>
                </c:pt>
                <c:pt idx="4">
                  <c:v>At the Global level</c:v>
                </c:pt>
              </c:strCache>
            </c:strRef>
          </c:cat>
          <c:val>
            <c:numRef>
              <c:f>'All consolidated responses'!$DQ$151:$DQ$155</c:f>
              <c:numCache>
                <c:formatCode>0%</c:formatCode>
                <c:ptCount val="5"/>
                <c:pt idx="0">
                  <c:v>0.13095238095238099</c:v>
                </c:pt>
                <c:pt idx="1">
                  <c:v>0.105882352941176</c:v>
                </c:pt>
                <c:pt idx="2">
                  <c:v>0.17073170731707299</c:v>
                </c:pt>
                <c:pt idx="3">
                  <c:v>0.14117647058823499</c:v>
                </c:pt>
                <c:pt idx="4">
                  <c:v>0.32894736842105299</c:v>
                </c:pt>
              </c:numCache>
            </c:numRef>
          </c:val>
        </c:ser>
        <c:ser>
          <c:idx val="2"/>
          <c:order val="2"/>
          <c:tx>
            <c:strRef>
              <c:f>'All consolidated responses'!$DR$150</c:f>
              <c:strCache>
                <c:ptCount val="1"/>
                <c:pt idx="0">
                  <c:v>Moderate impact</c:v>
                </c:pt>
              </c:strCache>
            </c:strRef>
          </c:tx>
          <c:spPr>
            <a:effectLst/>
          </c:spPr>
          <c:invertIfNegative val="0"/>
          <c:cat>
            <c:strRef>
              <c:f>'All consolidated responses'!$DO$151:$DO$155</c:f>
              <c:strCache>
                <c:ptCount val="5"/>
                <c:pt idx="0">
                  <c:v>At the local level</c:v>
                </c:pt>
                <c:pt idx="1">
                  <c:v>At the European level</c:v>
                </c:pt>
                <c:pt idx="2">
                  <c:v>At the Regional level</c:v>
                </c:pt>
                <c:pt idx="3">
                  <c:v>At the National level</c:v>
                </c:pt>
                <c:pt idx="4">
                  <c:v>At the Global level</c:v>
                </c:pt>
              </c:strCache>
            </c:strRef>
          </c:cat>
          <c:val>
            <c:numRef>
              <c:f>'All consolidated responses'!$DR$151:$DR$155</c:f>
              <c:numCache>
                <c:formatCode>0%</c:formatCode>
                <c:ptCount val="5"/>
                <c:pt idx="0">
                  <c:v>0.297619047619048</c:v>
                </c:pt>
                <c:pt idx="1">
                  <c:v>0.38823529411764701</c:v>
                </c:pt>
                <c:pt idx="2">
                  <c:v>0.34146341463414598</c:v>
                </c:pt>
                <c:pt idx="3">
                  <c:v>0.49411764705882399</c:v>
                </c:pt>
                <c:pt idx="4">
                  <c:v>0.22368421052631601</c:v>
                </c:pt>
              </c:numCache>
            </c:numRef>
          </c:val>
        </c:ser>
        <c:ser>
          <c:idx val="3"/>
          <c:order val="3"/>
          <c:tx>
            <c:strRef>
              <c:f>'All consolidated responses'!$DS$150</c:f>
              <c:strCache>
                <c:ptCount val="1"/>
                <c:pt idx="0">
                  <c:v>Large impact</c:v>
                </c:pt>
              </c:strCache>
            </c:strRef>
          </c:tx>
          <c:spPr>
            <a:effectLst/>
          </c:spPr>
          <c:invertIfNegative val="0"/>
          <c:cat>
            <c:strRef>
              <c:f>'All consolidated responses'!$DO$151:$DO$155</c:f>
              <c:strCache>
                <c:ptCount val="5"/>
                <c:pt idx="0">
                  <c:v>At the local level</c:v>
                </c:pt>
                <c:pt idx="1">
                  <c:v>At the European level</c:v>
                </c:pt>
                <c:pt idx="2">
                  <c:v>At the Regional level</c:v>
                </c:pt>
                <c:pt idx="3">
                  <c:v>At the National level</c:v>
                </c:pt>
                <c:pt idx="4">
                  <c:v>At the Global level</c:v>
                </c:pt>
              </c:strCache>
            </c:strRef>
          </c:cat>
          <c:val>
            <c:numRef>
              <c:f>'All consolidated responses'!$DS$151:$DS$155</c:f>
              <c:numCache>
                <c:formatCode>0%</c:formatCode>
                <c:ptCount val="5"/>
                <c:pt idx="0">
                  <c:v>0.26190476190476197</c:v>
                </c:pt>
                <c:pt idx="1">
                  <c:v>0.28235294117647097</c:v>
                </c:pt>
                <c:pt idx="2">
                  <c:v>0.23170731707317099</c:v>
                </c:pt>
                <c:pt idx="3">
                  <c:v>0.223529411764706</c:v>
                </c:pt>
                <c:pt idx="4">
                  <c:v>0.17105263157894701</c:v>
                </c:pt>
              </c:numCache>
            </c:numRef>
          </c:val>
        </c:ser>
        <c:ser>
          <c:idx val="4"/>
          <c:order val="4"/>
          <c:tx>
            <c:strRef>
              <c:f>'All consolidated responses'!$DT$150</c:f>
              <c:strCache>
                <c:ptCount val="1"/>
                <c:pt idx="0">
                  <c:v>Very large impact</c:v>
                </c:pt>
              </c:strCache>
            </c:strRef>
          </c:tx>
          <c:spPr>
            <a:effectLst/>
          </c:spPr>
          <c:invertIfNegative val="0"/>
          <c:cat>
            <c:strRef>
              <c:f>'All consolidated responses'!$DO$151:$DO$155</c:f>
              <c:strCache>
                <c:ptCount val="5"/>
                <c:pt idx="0">
                  <c:v>At the local level</c:v>
                </c:pt>
                <c:pt idx="1">
                  <c:v>At the European level</c:v>
                </c:pt>
                <c:pt idx="2">
                  <c:v>At the Regional level</c:v>
                </c:pt>
                <c:pt idx="3">
                  <c:v>At the National level</c:v>
                </c:pt>
                <c:pt idx="4">
                  <c:v>At the Global level</c:v>
                </c:pt>
              </c:strCache>
            </c:strRef>
          </c:cat>
          <c:val>
            <c:numRef>
              <c:f>'All consolidated responses'!$DT$151:$DT$155</c:f>
              <c:numCache>
                <c:formatCode>0%</c:formatCode>
                <c:ptCount val="5"/>
                <c:pt idx="0">
                  <c:v>0.19047619047618999</c:v>
                </c:pt>
                <c:pt idx="1">
                  <c:v>0.152941176470588</c:v>
                </c:pt>
                <c:pt idx="2">
                  <c:v>0.146341463414634</c:v>
                </c:pt>
                <c:pt idx="3">
                  <c:v>8.2352941176470601E-2</c:v>
                </c:pt>
                <c:pt idx="4">
                  <c:v>0.118421052631579</c:v>
                </c:pt>
              </c:numCache>
            </c:numRef>
          </c:val>
        </c:ser>
        <c:dLbls>
          <c:showLegendKey val="0"/>
          <c:showVal val="0"/>
          <c:showCatName val="0"/>
          <c:showSerName val="0"/>
          <c:showPercent val="0"/>
          <c:showBubbleSize val="0"/>
        </c:dLbls>
        <c:gapWidth val="70"/>
        <c:overlap val="100"/>
        <c:axId val="44010112"/>
        <c:axId val="44020096"/>
      </c:barChart>
      <c:catAx>
        <c:axId val="44010112"/>
        <c:scaling>
          <c:orientation val="maxMin"/>
        </c:scaling>
        <c:delete val="0"/>
        <c:axPos val="l"/>
        <c:numFmt formatCode="General" sourceLinked="0"/>
        <c:majorTickMark val="out"/>
        <c:minorTickMark val="none"/>
        <c:tickLblPos val="nextTo"/>
        <c:txPr>
          <a:bodyPr/>
          <a:lstStyle/>
          <a:p>
            <a:pPr algn="r">
              <a:defRPr/>
            </a:pPr>
            <a:endParaRPr lang="de-DE"/>
          </a:p>
        </c:txPr>
        <c:crossAx val="44020096"/>
        <c:crosses val="autoZero"/>
        <c:auto val="1"/>
        <c:lblAlgn val="ctr"/>
        <c:lblOffset val="100"/>
        <c:noMultiLvlLbl val="0"/>
      </c:catAx>
      <c:valAx>
        <c:axId val="44020096"/>
        <c:scaling>
          <c:orientation val="minMax"/>
        </c:scaling>
        <c:delete val="0"/>
        <c:axPos val="b"/>
        <c:majorGridlines/>
        <c:title>
          <c:tx>
            <c:rich>
              <a:bodyPr/>
              <a:lstStyle/>
              <a:p>
                <a:pPr>
                  <a:defRPr b="0"/>
                </a:pPr>
                <a:r>
                  <a:rPr lang="en-US" b="0"/>
                  <a:t>Percentage of respondents</a:t>
                </a:r>
              </a:p>
            </c:rich>
          </c:tx>
          <c:overlay val="0"/>
        </c:title>
        <c:numFmt formatCode="0%" sourceLinked="1"/>
        <c:majorTickMark val="out"/>
        <c:minorTickMark val="none"/>
        <c:tickLblPos val="nextTo"/>
        <c:crossAx val="44010112"/>
        <c:crosses val="max"/>
        <c:crossBetween val="between"/>
      </c:valAx>
    </c:plotArea>
    <c:legend>
      <c:legendPos val="t"/>
      <c:layout>
        <c:manualLayout>
          <c:xMode val="edge"/>
          <c:yMode val="edge"/>
          <c:x val="6.3390960282421999E-2"/>
          <c:y val="0.19735682819383299"/>
          <c:w val="0.87321792148097799"/>
          <c:h val="8.3935273509313499E-2"/>
        </c:manualLayout>
      </c:layout>
      <c:overlay val="0"/>
    </c:legend>
    <c:plotVisOnly val="1"/>
    <c:dispBlanksAs val="gap"/>
    <c:showDLblsOverMax val="0"/>
  </c:chart>
  <c:spPr>
    <a:ln>
      <a:solidFill>
        <a:schemeClr val="tx1">
          <a:lumMod val="50000"/>
          <a:lumOff val="50000"/>
        </a:schemeClr>
      </a:solidFill>
    </a:ln>
  </c:spPr>
  <c:txPr>
    <a:bodyPr/>
    <a:lstStyle/>
    <a:p>
      <a:pPr>
        <a:defRPr sz="900">
          <a:latin typeface="Arial"/>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Figure 1</a:t>
            </a:r>
          </a:p>
          <a:p>
            <a:pPr>
              <a:defRPr/>
            </a:pPr>
            <a:r>
              <a:rPr lang="en-US" sz="1200"/>
              <a:t>Peer review articles from fusion research labs supported by Euratom</a:t>
            </a:r>
          </a:p>
        </c:rich>
      </c:tx>
      <c:overlay val="0"/>
    </c:title>
    <c:autoTitleDeleted val="0"/>
    <c:plotArea>
      <c:layout/>
      <c:barChart>
        <c:barDir val="col"/>
        <c:grouping val="clustered"/>
        <c:varyColors val="0"/>
        <c:ser>
          <c:idx val="0"/>
          <c:order val="0"/>
          <c:tx>
            <c:strRef>
              <c:f>savedrecs!$D$7</c:f>
              <c:strCache>
                <c:ptCount val="1"/>
                <c:pt idx="0">
                  <c:v>Peer review articles from fusion associations</c:v>
                </c:pt>
              </c:strCache>
            </c:strRef>
          </c:tx>
          <c:spPr>
            <a:ln>
              <a:noFill/>
            </a:ln>
          </c:spPr>
          <c:invertIfNegative val="0"/>
          <c:cat>
            <c:numRef>
              <c:f>savedrecs!$C$8:$C$19</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savedrecs!$D$8:$D$19</c:f>
              <c:numCache>
                <c:formatCode>General</c:formatCode>
                <c:ptCount val="12"/>
                <c:pt idx="0">
                  <c:v>470</c:v>
                </c:pt>
                <c:pt idx="1">
                  <c:v>534</c:v>
                </c:pt>
                <c:pt idx="2">
                  <c:v>573</c:v>
                </c:pt>
                <c:pt idx="3">
                  <c:v>680</c:v>
                </c:pt>
                <c:pt idx="4">
                  <c:v>568</c:v>
                </c:pt>
                <c:pt idx="5">
                  <c:v>682</c:v>
                </c:pt>
                <c:pt idx="6">
                  <c:v>523</c:v>
                </c:pt>
                <c:pt idx="7">
                  <c:v>742</c:v>
                </c:pt>
                <c:pt idx="8">
                  <c:v>596</c:v>
                </c:pt>
                <c:pt idx="9">
                  <c:v>860</c:v>
                </c:pt>
                <c:pt idx="10">
                  <c:v>595</c:v>
                </c:pt>
                <c:pt idx="11">
                  <c:v>659</c:v>
                </c:pt>
              </c:numCache>
            </c:numRef>
          </c:val>
        </c:ser>
        <c:dLbls>
          <c:showLegendKey val="0"/>
          <c:showVal val="0"/>
          <c:showCatName val="0"/>
          <c:showSerName val="0"/>
          <c:showPercent val="0"/>
          <c:showBubbleSize val="0"/>
        </c:dLbls>
        <c:gapWidth val="150"/>
        <c:axId val="83756160"/>
        <c:axId val="83757696"/>
      </c:barChart>
      <c:catAx>
        <c:axId val="83756160"/>
        <c:scaling>
          <c:orientation val="minMax"/>
        </c:scaling>
        <c:delete val="0"/>
        <c:axPos val="b"/>
        <c:numFmt formatCode="General" sourceLinked="1"/>
        <c:majorTickMark val="out"/>
        <c:minorTickMark val="none"/>
        <c:tickLblPos val="nextTo"/>
        <c:crossAx val="83757696"/>
        <c:crosses val="autoZero"/>
        <c:auto val="1"/>
        <c:lblAlgn val="ctr"/>
        <c:lblOffset val="100"/>
        <c:noMultiLvlLbl val="0"/>
      </c:catAx>
      <c:valAx>
        <c:axId val="83757696"/>
        <c:scaling>
          <c:orientation val="minMax"/>
        </c:scaling>
        <c:delete val="0"/>
        <c:axPos val="l"/>
        <c:majorGridlines/>
        <c:numFmt formatCode="General" sourceLinked="1"/>
        <c:majorTickMark val="out"/>
        <c:minorTickMark val="none"/>
        <c:tickLblPos val="nextTo"/>
        <c:crossAx val="8375616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Graph 2</a:t>
            </a:r>
          </a:p>
          <a:p>
            <a:pPr>
              <a:defRPr/>
            </a:pPr>
            <a:r>
              <a:rPr lang="en-US" sz="1000"/>
              <a:t>Number of researchers participating in moblity scheme of fusion programme</a:t>
            </a:r>
          </a:p>
        </c:rich>
      </c:tx>
      <c:overlay val="0"/>
    </c:title>
    <c:autoTitleDeleted val="0"/>
    <c:plotArea>
      <c:layout/>
      <c:lineChart>
        <c:grouping val="standard"/>
        <c:varyColors val="0"/>
        <c:ser>
          <c:idx val="0"/>
          <c:order val="0"/>
          <c:tx>
            <c:strRef>
              <c:f>'[Data on mobility.xlsx]Sheet1'!$A$7</c:f>
              <c:strCache>
                <c:ptCount val="1"/>
                <c:pt idx="0">
                  <c:v>Number of researchers participating in moblity scheme of fusion programme</c:v>
                </c:pt>
              </c:strCache>
            </c:strRef>
          </c:tx>
          <c:marker>
            <c:symbol val="none"/>
          </c:marker>
          <c:cat>
            <c:strRef>
              <c:f>'[Data on mobility.xlsx]Sheet1'!$B$6:$I$6</c:f>
              <c:strCache>
                <c:ptCount val="8"/>
                <c:pt idx="0">
                  <c:v>2006</c:v>
                </c:pt>
                <c:pt idx="1">
                  <c:v>2007</c:v>
                </c:pt>
                <c:pt idx="2">
                  <c:v>2008</c:v>
                </c:pt>
                <c:pt idx="3">
                  <c:v>2009</c:v>
                </c:pt>
                <c:pt idx="4">
                  <c:v>2010</c:v>
                </c:pt>
                <c:pt idx="5">
                  <c:v>2011</c:v>
                </c:pt>
                <c:pt idx="6">
                  <c:v>~2012</c:v>
                </c:pt>
                <c:pt idx="7">
                  <c:v>~2013</c:v>
                </c:pt>
              </c:strCache>
            </c:strRef>
          </c:cat>
          <c:val>
            <c:numRef>
              <c:f>'[Data on mobility.xlsx]Sheet1'!$B$7:$I$7</c:f>
              <c:numCache>
                <c:formatCode>General</c:formatCode>
                <c:ptCount val="8"/>
                <c:pt idx="0">
                  <c:v>665</c:v>
                </c:pt>
                <c:pt idx="1">
                  <c:v>716</c:v>
                </c:pt>
                <c:pt idx="2">
                  <c:v>823</c:v>
                </c:pt>
                <c:pt idx="3" formatCode="#,##0">
                  <c:v>1028</c:v>
                </c:pt>
                <c:pt idx="4">
                  <c:v>945</c:v>
                </c:pt>
                <c:pt idx="5">
                  <c:v>858</c:v>
                </c:pt>
                <c:pt idx="6">
                  <c:v>983</c:v>
                </c:pt>
                <c:pt idx="7" formatCode="#,##0">
                  <c:v>1100</c:v>
                </c:pt>
              </c:numCache>
            </c:numRef>
          </c:val>
          <c:smooth val="0"/>
        </c:ser>
        <c:dLbls>
          <c:showLegendKey val="0"/>
          <c:showVal val="0"/>
          <c:showCatName val="0"/>
          <c:showSerName val="0"/>
          <c:showPercent val="0"/>
          <c:showBubbleSize val="0"/>
        </c:dLbls>
        <c:marker val="1"/>
        <c:smooth val="0"/>
        <c:axId val="81655680"/>
        <c:axId val="81657216"/>
      </c:lineChart>
      <c:catAx>
        <c:axId val="81655680"/>
        <c:scaling>
          <c:orientation val="minMax"/>
        </c:scaling>
        <c:delete val="0"/>
        <c:axPos val="b"/>
        <c:numFmt formatCode="General" sourceLinked="0"/>
        <c:majorTickMark val="out"/>
        <c:minorTickMark val="none"/>
        <c:tickLblPos val="nextTo"/>
        <c:crossAx val="81657216"/>
        <c:crosses val="autoZero"/>
        <c:auto val="1"/>
        <c:lblAlgn val="ctr"/>
        <c:lblOffset val="100"/>
        <c:noMultiLvlLbl val="0"/>
      </c:catAx>
      <c:valAx>
        <c:axId val="81657216"/>
        <c:scaling>
          <c:orientation val="minMax"/>
        </c:scaling>
        <c:delete val="0"/>
        <c:axPos val="l"/>
        <c:majorGridlines>
          <c:spPr>
            <a:ln>
              <a:noFill/>
            </a:ln>
          </c:spPr>
        </c:majorGridlines>
        <c:numFmt formatCode="General" sourceLinked="1"/>
        <c:majorTickMark val="out"/>
        <c:minorTickMark val="none"/>
        <c:tickLblPos val="nextTo"/>
        <c:crossAx val="816556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j-lt"/>
                <a:ea typeface="+mn-ea"/>
                <a:cs typeface="+mn-cs"/>
              </a:defRPr>
            </a:pPr>
            <a:r>
              <a:rPr lang="en-US"/>
              <a:t>FP7 publications breakdown by access mode</a:t>
            </a:r>
          </a:p>
        </c:rich>
      </c:tx>
      <c:layout>
        <c:manualLayout>
          <c:xMode val="edge"/>
          <c:yMode val="edge"/>
          <c:x val="0.196752847606148"/>
          <c:y val="1.4433981186708299E-3"/>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7446758373391499"/>
                  <c:y val="6.3768528754822501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j-lt"/>
                      <a:ea typeface="+mn-ea"/>
                      <a:cs typeface="+mn-cs"/>
                    </a:defRPr>
                  </a:pPr>
                  <a:endParaRPr lang="de-DE"/>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37236760264032"/>
                      <c:h val="0.187467285607924"/>
                    </c:manualLayout>
                  </c15:layout>
                </c:ext>
              </c:extLst>
            </c:dLbl>
            <c:dLbl>
              <c:idx val="2"/>
              <c:layout>
                <c:manualLayout>
                  <c:x val="4.9231367828238497E-2"/>
                  <c:y val="-3.265839320705539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0.10436628375866699"/>
                  <c:y val="-8.8757529950591295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numFmt formatCode="General" sourceLinked="0"/>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j-lt"/>
                    <a:ea typeface="+mn-ea"/>
                    <a:cs typeface="+mn-cs"/>
                  </a:defRPr>
                </a:pPr>
                <a:endParaRPr lang="de-DE"/>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Sheet2!$F$16:$F$20</c:f>
              <c:strCache>
                <c:ptCount val="5"/>
                <c:pt idx="0">
                  <c:v>Uknown</c:v>
                </c:pt>
                <c:pt idx="1">
                  <c:v>Open Access</c:v>
                </c:pt>
                <c:pt idx="2">
                  <c:v>Restricted</c:v>
                </c:pt>
                <c:pt idx="3">
                  <c:v>Embargo</c:v>
                </c:pt>
                <c:pt idx="4">
                  <c:v>Closed Access </c:v>
                </c:pt>
              </c:strCache>
            </c:strRef>
          </c:cat>
          <c:val>
            <c:numRef>
              <c:f>Sheet2!$G$16:$G$20</c:f>
              <c:numCache>
                <c:formatCode>General</c:formatCode>
                <c:ptCount val="5"/>
                <c:pt idx="0">
                  <c:v>264</c:v>
                </c:pt>
                <c:pt idx="1">
                  <c:v>92826</c:v>
                </c:pt>
                <c:pt idx="2">
                  <c:v>3216</c:v>
                </c:pt>
                <c:pt idx="3">
                  <c:v>315</c:v>
                </c:pt>
                <c:pt idx="4">
                  <c:v>74637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label 0</c:f>
              <c:strCache>
                <c:ptCount val="1"/>
                <c:pt idx="0">
                  <c:v>PRC</c:v>
                </c:pt>
              </c:strCache>
            </c:strRef>
          </c:tx>
          <c:spPr>
            <a:solidFill>
              <a:srgbClr val="4F81BD"/>
            </a:solidFill>
            <a:ln>
              <a:noFill/>
            </a:ln>
          </c:spPr>
          <c:invertIfNegative val="1"/>
          <c:cat>
            <c:strRef>
              <c:f>categories</c:f>
              <c:strCache>
                <c:ptCount val="28"/>
                <c:pt idx="0">
                  <c:v>FR</c:v>
                </c:pt>
                <c:pt idx="1">
                  <c:v>SE</c:v>
                </c:pt>
                <c:pt idx="2">
                  <c:v>NL</c:v>
                </c:pt>
                <c:pt idx="3">
                  <c:v>MT</c:v>
                </c:pt>
                <c:pt idx="4">
                  <c:v>DE</c:v>
                </c:pt>
                <c:pt idx="5">
                  <c:v>FI</c:v>
                </c:pt>
                <c:pt idx="6">
                  <c:v>EU</c:v>
                </c:pt>
                <c:pt idx="7">
                  <c:v>BE</c:v>
                </c:pt>
                <c:pt idx="8">
                  <c:v>AT</c:v>
                </c:pt>
                <c:pt idx="9">
                  <c:v>UK</c:v>
                </c:pt>
                <c:pt idx="10">
                  <c:v>DK</c:v>
                </c:pt>
                <c:pt idx="11">
                  <c:v>IT</c:v>
                </c:pt>
                <c:pt idx="12">
                  <c:v>ES</c:v>
                </c:pt>
                <c:pt idx="13">
                  <c:v>CZ</c:v>
                </c:pt>
                <c:pt idx="14">
                  <c:v>LU</c:v>
                </c:pt>
                <c:pt idx="15">
                  <c:v>RO</c:v>
                </c:pt>
                <c:pt idx="16">
                  <c:v>PL</c:v>
                </c:pt>
                <c:pt idx="17">
                  <c:v>EL</c:v>
                </c:pt>
                <c:pt idx="18">
                  <c:v>PT</c:v>
                </c:pt>
                <c:pt idx="19">
                  <c:v>LT</c:v>
                </c:pt>
                <c:pt idx="20">
                  <c:v>SI</c:v>
                </c:pt>
                <c:pt idx="21">
                  <c:v>IE</c:v>
                </c:pt>
                <c:pt idx="22">
                  <c:v>SK</c:v>
                </c:pt>
                <c:pt idx="23">
                  <c:v>HU</c:v>
                </c:pt>
                <c:pt idx="24">
                  <c:v>BG</c:v>
                </c:pt>
                <c:pt idx="25">
                  <c:v>CY</c:v>
                </c:pt>
                <c:pt idx="26">
                  <c:v>LV</c:v>
                </c:pt>
                <c:pt idx="27">
                  <c:v>EE</c:v>
                </c:pt>
              </c:strCache>
            </c:strRef>
          </c:cat>
          <c:val>
            <c:numRef>
              <c:f>0</c:f>
              <c:numCache>
                <c:formatCode>General</c:formatCode>
                <c:ptCount val="28"/>
                <c:pt idx="0">
                  <c:v>1.25784125488087</c:v>
                </c:pt>
                <c:pt idx="1">
                  <c:v>1.2491691248276799</c:v>
                </c:pt>
                <c:pt idx="2">
                  <c:v>1.17459274030725</c:v>
                </c:pt>
                <c:pt idx="3">
                  <c:v>1.03912383116135</c:v>
                </c:pt>
                <c:pt idx="4">
                  <c:v>0.97650279667260198</c:v>
                </c:pt>
                <c:pt idx="5">
                  <c:v>0.97077170486179598</c:v>
                </c:pt>
                <c:pt idx="6">
                  <c:v>0.87934342442410296</c:v>
                </c:pt>
                <c:pt idx="7">
                  <c:v>0.86650576770994803</c:v>
                </c:pt>
                <c:pt idx="8">
                  <c:v>0.86118222805717903</c:v>
                </c:pt>
                <c:pt idx="9">
                  <c:v>0.78553827532177301</c:v>
                </c:pt>
                <c:pt idx="10">
                  <c:v>0.72618016429555898</c:v>
                </c:pt>
                <c:pt idx="11">
                  <c:v>0.68532926324074195</c:v>
                </c:pt>
                <c:pt idx="12">
                  <c:v>0.61276309917579397</c:v>
                </c:pt>
                <c:pt idx="13">
                  <c:v>0.59418285710469798</c:v>
                </c:pt>
                <c:pt idx="14">
                  <c:v>0.58905058178776204</c:v>
                </c:pt>
                <c:pt idx="15">
                  <c:v>0.52716876204966401</c:v>
                </c:pt>
                <c:pt idx="16">
                  <c:v>0.52009196418946202</c:v>
                </c:pt>
                <c:pt idx="17">
                  <c:v>0.50977756767660298</c:v>
                </c:pt>
                <c:pt idx="18">
                  <c:v>0.50331883004570199</c:v>
                </c:pt>
                <c:pt idx="19">
                  <c:v>0.49745063226278702</c:v>
                </c:pt>
                <c:pt idx="20">
                  <c:v>0.47613570205870998</c:v>
                </c:pt>
                <c:pt idx="21">
                  <c:v>0.45479542372480702</c:v>
                </c:pt>
                <c:pt idx="22">
                  <c:v>0.43658933006745998</c:v>
                </c:pt>
                <c:pt idx="23">
                  <c:v>0.40674679534609198</c:v>
                </c:pt>
                <c:pt idx="24">
                  <c:v>0.36828957588828698</c:v>
                </c:pt>
                <c:pt idx="25">
                  <c:v>0.35928270160172898</c:v>
                </c:pt>
                <c:pt idx="26">
                  <c:v>0.34322648801515199</c:v>
                </c:pt>
                <c:pt idx="27">
                  <c:v>0.28825708379904602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dLbls>
          <c:showLegendKey val="0"/>
          <c:showVal val="0"/>
          <c:showCatName val="0"/>
          <c:showSerName val="0"/>
          <c:showPercent val="0"/>
          <c:showBubbleSize val="0"/>
        </c:dLbls>
        <c:gapWidth val="150"/>
        <c:axId val="114091136"/>
        <c:axId val="114092672"/>
      </c:barChart>
      <c:catAx>
        <c:axId val="114091136"/>
        <c:scaling>
          <c:orientation val="minMax"/>
        </c:scaling>
        <c:delete val="0"/>
        <c:axPos val="b"/>
        <c:majorTickMark val="out"/>
        <c:minorTickMark val="none"/>
        <c:tickLblPos val="nextTo"/>
        <c:spPr>
          <a:ln w="9360">
            <a:solidFill>
              <a:srgbClr val="878787"/>
            </a:solidFill>
            <a:round/>
          </a:ln>
        </c:spPr>
        <c:crossAx val="114092672"/>
        <c:crossesAt val="0"/>
        <c:auto val="1"/>
        <c:lblAlgn val="ctr"/>
        <c:lblOffset val="100"/>
        <c:noMultiLvlLbl val="1"/>
      </c:catAx>
      <c:valAx>
        <c:axId val="114092672"/>
        <c:scaling>
          <c:orientation val="minMax"/>
        </c:scaling>
        <c:delete val="0"/>
        <c:axPos val="l"/>
        <c:majorGridlines>
          <c:spPr>
            <a:ln w="9360">
              <a:solidFill>
                <a:srgbClr val="878787"/>
              </a:solidFill>
              <a:round/>
            </a:ln>
          </c:spPr>
        </c:majorGridlines>
        <c:numFmt formatCode="General" sourceLinked="1"/>
        <c:majorTickMark val="out"/>
        <c:minorTickMark val="none"/>
        <c:tickLblPos val="nextTo"/>
        <c:spPr>
          <a:ln w="9360">
            <a:solidFill>
              <a:srgbClr val="878787"/>
            </a:solidFill>
            <a:round/>
          </a:ln>
        </c:spPr>
        <c:crossAx val="114091136"/>
        <c:crossesAt val="0"/>
        <c:crossBetween val="between"/>
      </c:valAx>
      <c:spPr>
        <a:solidFill>
          <a:srgbClr val="FFFFFF"/>
        </a:solidFill>
        <a:ln>
          <a:noFill/>
        </a:ln>
      </c:spPr>
    </c:plotArea>
    <c:plotVisOnly val="1"/>
    <c:dispBlanksAs val="zero"/>
    <c:showDLblsOverMax val="1"/>
  </c:chart>
  <c:spPr>
    <a:noFill/>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j-lt"/>
                <a:ea typeface="+mn-ea"/>
                <a:cs typeface="+mn-cs"/>
              </a:defRPr>
            </a:pPr>
            <a:r>
              <a:rPr lang="en-US"/>
              <a:t>FP7 publications in institutional repositories</a:t>
            </a:r>
          </a:p>
        </c:rich>
      </c:tx>
      <c:overlay val="0"/>
      <c:spPr>
        <a:noFill/>
        <a:ln>
          <a:noFill/>
        </a:ln>
        <a:effectLst/>
      </c:spPr>
    </c:title>
    <c:autoTitleDeleted val="0"/>
    <c:plotArea>
      <c:layout/>
      <c:lineChart>
        <c:grouping val="standard"/>
        <c:varyColors val="0"/>
        <c:ser>
          <c:idx val="0"/>
          <c:order val="0"/>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j-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Sheet1!$B$7:$B$12</c:f>
              <c:numCache>
                <c:formatCode>mmm\-yy</c:formatCode>
                <c:ptCount val="6"/>
                <c:pt idx="0">
                  <c:v>41456</c:v>
                </c:pt>
                <c:pt idx="1">
                  <c:v>41609</c:v>
                </c:pt>
                <c:pt idx="2">
                  <c:v>41760</c:v>
                </c:pt>
                <c:pt idx="3">
                  <c:v>42005</c:v>
                </c:pt>
                <c:pt idx="4">
                  <c:v>42217</c:v>
                </c:pt>
                <c:pt idx="5">
                  <c:v>42339</c:v>
                </c:pt>
              </c:numCache>
            </c:numRef>
          </c:cat>
          <c:val>
            <c:numRef>
              <c:f>Sheet1!$C$7:$C$12</c:f>
              <c:numCache>
                <c:formatCode>General</c:formatCode>
                <c:ptCount val="6"/>
                <c:pt idx="0">
                  <c:v>4900</c:v>
                </c:pt>
                <c:pt idx="1">
                  <c:v>6000</c:v>
                </c:pt>
                <c:pt idx="2">
                  <c:v>17500</c:v>
                </c:pt>
                <c:pt idx="3">
                  <c:v>23800</c:v>
                </c:pt>
                <c:pt idx="4">
                  <c:v>31580</c:v>
                </c:pt>
                <c:pt idx="5">
                  <c:v>40971</c:v>
                </c:pt>
              </c:numCache>
            </c:numRef>
          </c:val>
          <c:smooth val="0"/>
        </c:ser>
        <c:dLbls>
          <c:dLblPos val="ctr"/>
          <c:showLegendKey val="0"/>
          <c:showVal val="1"/>
          <c:showCatName val="0"/>
          <c:showSerName val="0"/>
          <c:showPercent val="0"/>
          <c:showBubbleSize val="0"/>
        </c:dLbls>
        <c:marker val="1"/>
        <c:smooth val="0"/>
        <c:axId val="83096320"/>
        <c:axId val="83099008"/>
      </c:lineChart>
      <c:dateAx>
        <c:axId val="830963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j-lt"/>
                <a:ea typeface="+mn-ea"/>
                <a:cs typeface="+mn-cs"/>
              </a:defRPr>
            </a:pPr>
            <a:endParaRPr lang="de-DE"/>
          </a:p>
        </c:txPr>
        <c:crossAx val="83099008"/>
        <c:crosses val="autoZero"/>
        <c:auto val="1"/>
        <c:lblOffset val="100"/>
        <c:baseTimeUnit val="months"/>
      </c:dateAx>
      <c:valAx>
        <c:axId val="83099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r>
                  <a:rPr lang="en-US"/>
                  <a:t>Publications</a:t>
                </a:r>
              </a:p>
            </c:rich>
          </c:tx>
          <c:overlay val="0"/>
          <c:spPr>
            <a:noFill/>
            <a:ln>
              <a:noFill/>
            </a:ln>
            <a:effectLst/>
          </c:spPr>
        </c:title>
        <c:numFmt formatCode="General" sourceLinked="1"/>
        <c:majorTickMark val="none"/>
        <c:minorTickMark val="none"/>
        <c:tickLblPos val="nextTo"/>
        <c:crossAx val="830963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mj-lt"/>
        </a:defRPr>
      </a:pPr>
      <a:endParaRPr lang="de-D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j-lt"/>
                <a:ea typeface="+mn-ea"/>
                <a:cs typeface="+mn-cs"/>
              </a:defRPr>
            </a:pPr>
            <a:r>
              <a:rPr lang="en-US"/>
              <a:t>FP7 publications breakdown by access mode</a:t>
            </a:r>
          </a:p>
        </c:rich>
      </c:tx>
      <c:layout>
        <c:manualLayout>
          <c:xMode val="edge"/>
          <c:yMode val="edge"/>
          <c:x val="0.196752847606148"/>
          <c:y val="1.4433981186708299E-3"/>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7446758373391499"/>
                  <c:y val="6.3768528754822501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j-lt"/>
                      <a:ea typeface="+mn-ea"/>
                      <a:cs typeface="+mn-cs"/>
                    </a:defRPr>
                  </a:pPr>
                  <a:endParaRPr lang="de-DE"/>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37236760264032"/>
                      <c:h val="0.187467285607924"/>
                    </c:manualLayout>
                  </c15:layout>
                </c:ext>
              </c:extLst>
            </c:dLbl>
            <c:dLbl>
              <c:idx val="2"/>
              <c:layout>
                <c:manualLayout>
                  <c:x val="4.9231367828238497E-2"/>
                  <c:y val="-3.265839320705539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0.10436628375866699"/>
                  <c:y val="-8.8757529950591295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numFmt formatCode="General" sourceLinked="0"/>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j-lt"/>
                    <a:ea typeface="+mn-ea"/>
                    <a:cs typeface="+mn-cs"/>
                  </a:defRPr>
                </a:pPr>
                <a:endParaRPr lang="de-DE"/>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Sheet2!$F$16:$F$20</c:f>
              <c:strCache>
                <c:ptCount val="5"/>
                <c:pt idx="0">
                  <c:v>Uknown</c:v>
                </c:pt>
                <c:pt idx="1">
                  <c:v>Open Access</c:v>
                </c:pt>
                <c:pt idx="2">
                  <c:v>Restricted</c:v>
                </c:pt>
                <c:pt idx="3">
                  <c:v>Embargo</c:v>
                </c:pt>
                <c:pt idx="4">
                  <c:v>Closed Access </c:v>
                </c:pt>
              </c:strCache>
            </c:strRef>
          </c:cat>
          <c:val>
            <c:numRef>
              <c:f>Sheet2!$G$16:$G$20</c:f>
              <c:numCache>
                <c:formatCode>General</c:formatCode>
                <c:ptCount val="5"/>
                <c:pt idx="0">
                  <c:v>264</c:v>
                </c:pt>
                <c:pt idx="1">
                  <c:v>92826</c:v>
                </c:pt>
                <c:pt idx="2">
                  <c:v>3216</c:v>
                </c:pt>
                <c:pt idx="3">
                  <c:v>315</c:v>
                </c:pt>
                <c:pt idx="4">
                  <c:v>74637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j-lt"/>
        </a:defRPr>
      </a:pPr>
      <a:endParaRPr lang="de-D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t>FP7 - SC39 publications break down by access mode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3630406290956701"/>
                  <c:y val="2.657807308970100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0.13368283093053701"/>
                  <c:y val="2.325581395348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13066944613575"/>
                      <c:h val="0.13938551285740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de-DE"/>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Sheet2!$J$16:$J$20</c:f>
              <c:strCache>
                <c:ptCount val="5"/>
                <c:pt idx="0">
                  <c:v>Unkown</c:v>
                </c:pt>
                <c:pt idx="1">
                  <c:v>Open Access</c:v>
                </c:pt>
                <c:pt idx="2">
                  <c:v>Restricted</c:v>
                </c:pt>
                <c:pt idx="3">
                  <c:v>Embargo</c:v>
                </c:pt>
                <c:pt idx="4">
                  <c:v>Closed Access </c:v>
                </c:pt>
              </c:strCache>
            </c:strRef>
          </c:cat>
          <c:val>
            <c:numRef>
              <c:f>Sheet2!$K$16:$K$20</c:f>
              <c:numCache>
                <c:formatCode>General</c:formatCode>
                <c:ptCount val="5"/>
                <c:pt idx="0" formatCode="0">
                  <c:v>39</c:v>
                </c:pt>
                <c:pt idx="1">
                  <c:v>12740</c:v>
                </c:pt>
                <c:pt idx="2">
                  <c:v>559</c:v>
                </c:pt>
                <c:pt idx="3">
                  <c:v>125</c:v>
                </c:pt>
                <c:pt idx="4" formatCode="0">
                  <c:v>8072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de-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D44A2-26C5-4D9F-84E1-04EF8733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Template>
  <TotalTime>0</TotalTime>
  <Pages>205</Pages>
  <Words>60345</Words>
  <Characters>380175</Characters>
  <Application>Microsoft Office Word</Application>
  <DocSecurity>0</DocSecurity>
  <Lines>3168</Lines>
  <Paragraphs>879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bmwf</Company>
  <LinksUpToDate>false</LinksUpToDate>
  <CharactersWithSpaces>439641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schachner</dc:creator>
  <cp:lastModifiedBy>schachner</cp:lastModifiedBy>
  <cp:revision>2</cp:revision>
  <cp:lastPrinted>2015-12-14T16:51:00Z</cp:lastPrinted>
  <dcterms:created xsi:type="dcterms:W3CDTF">2016-01-22T14:53:00Z</dcterms:created>
  <dcterms:modified xsi:type="dcterms:W3CDTF">2016-01-22T14:53:00Z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3</vt:lpwstr>
  </property>
  <property fmtid="{D5CDD505-2E9C-101B-9397-08002B2CF9AE}" pid="4" name="Classification">
    <vt:lpwstr> </vt:lpwstr>
  </property>
  <property fmtid="{D5CDD505-2E9C-101B-9397-08002B2CF9AE}" pid="5" name="ELDocType">
    <vt:lpwstr>NOT.DOT</vt:lpwstr>
  </property>
  <property fmtid="{D5CDD505-2E9C-101B-9397-08002B2CF9AE}" pid="6" name="Created using">
    <vt:lpwstr>3.0</vt:lpwstr>
  </property>
  <property fmtid="{D5CDD505-2E9C-101B-9397-08002B2CF9AE}" pid="7" name="Last edited using">
    <vt:lpwstr>EL </vt:lpwstr>
  </property>
  <property fmtid="{D5CDD505-2E9C-101B-9397-08002B2CF9AE}" pid="8" name="Formatting">
    <vt:lpwstr>4.1</vt:lpwstr>
  </property>
  <property fmtid="{D5CDD505-2E9C-101B-9397-08002B2CF9AE}" pid="9" name="DocStatus">
    <vt:lpwstr>Green</vt:lpwstr>
  </property>
</Properties>
</file>